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992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关于《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u w:val="none"/>
        </w:rPr>
        <w:t>天津东疆综合保税区关于</w:t>
      </w: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highlight w:val="none"/>
          <w:u w:val="none"/>
          <w:lang w:val="en-US" w:eastAsia="zh-CN"/>
        </w:rPr>
        <w:t>支持文商旅体融合发展的暂行办法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》的起草说明</w:t>
      </w:r>
    </w:p>
    <w:p w14:paraId="67407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ascii="Times New Roman" w:hAnsi="Times New Roman" w:eastAsia="仿宋_GB2312"/>
          <w:sz w:val="32"/>
          <w:szCs w:val="32"/>
        </w:rPr>
      </w:pPr>
    </w:p>
    <w:p w14:paraId="7856B55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为贯彻落实国务院办公厅《关于进一步培育新增长点繁荣文化和旅游消费的若干措施》（国发【2025】2号）文件精神，促进文商旅体融合发展，天津</w:t>
      </w:r>
      <w:r>
        <w:rPr>
          <w:rFonts w:ascii="Times New Roman" w:hAnsi="Times New Roman" w:eastAsia="仿宋_GB2312"/>
          <w:sz w:val="32"/>
          <w:szCs w:val="32"/>
        </w:rPr>
        <w:t>东疆综合保税区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以下简称“东疆”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/>
          <w:sz w:val="32"/>
          <w:szCs w:val="32"/>
        </w:rPr>
        <w:t>研</w:t>
      </w:r>
      <w:r>
        <w:rPr>
          <w:rFonts w:hint="default" w:ascii="Times New Roman" w:hAnsi="Times New Roman" w:eastAsia="仿宋_GB2312"/>
          <w:sz w:val="32"/>
          <w:szCs w:val="32"/>
        </w:rPr>
        <w:t>究制定了《天津东疆综合保税区关于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支持文商旅体融合发展</w:t>
      </w:r>
      <w:r>
        <w:rPr>
          <w:rFonts w:hint="default" w:ascii="Times New Roman" w:hAnsi="Times New Roman" w:eastAsia="仿宋_GB2312"/>
          <w:sz w:val="32"/>
          <w:szCs w:val="32"/>
        </w:rPr>
        <w:t>的暂行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/>
          <w:sz w:val="32"/>
          <w:szCs w:val="32"/>
        </w:rPr>
        <w:t>》</w:t>
      </w:r>
      <w:r>
        <w:rPr>
          <w:rFonts w:ascii="Times New Roman" w:hAnsi="Times New Roman" w:eastAsia="仿宋_GB2312"/>
          <w:sz w:val="32"/>
          <w:szCs w:val="32"/>
        </w:rPr>
        <w:t>（以下简称“暂行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办法</w:t>
      </w:r>
      <w:r>
        <w:rPr>
          <w:rFonts w:ascii="Times New Roman" w:hAnsi="Times New Roman" w:eastAsia="仿宋_GB2312"/>
          <w:sz w:val="32"/>
          <w:szCs w:val="32"/>
        </w:rPr>
        <w:t>”）。</w:t>
      </w:r>
      <w:r>
        <w:rPr>
          <w:rFonts w:hint="default" w:ascii="Times New Roman" w:hAnsi="Times New Roman" w:eastAsia="仿宋_GB2312"/>
          <w:sz w:val="32"/>
          <w:szCs w:val="32"/>
        </w:rPr>
        <w:t>现将有关</w:t>
      </w:r>
      <w:r>
        <w:rPr>
          <w:rFonts w:ascii="Times New Roman" w:hAnsi="Times New Roman" w:eastAsia="仿宋_GB2312"/>
          <w:sz w:val="32"/>
          <w:szCs w:val="32"/>
        </w:rPr>
        <w:t>起草</w:t>
      </w:r>
      <w:r>
        <w:rPr>
          <w:rFonts w:hint="default" w:ascii="Times New Roman" w:hAnsi="Times New Roman" w:eastAsia="仿宋_GB2312"/>
          <w:sz w:val="32"/>
          <w:szCs w:val="32"/>
        </w:rPr>
        <w:t>情况说明如下：</w:t>
      </w:r>
    </w:p>
    <w:p w14:paraId="1DEA9C7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</w:rPr>
      </w:pPr>
      <w:r>
        <w:rPr>
          <w:rFonts w:hint="default" w:ascii="黑体" w:hAnsi="黑体" w:eastAsia="黑体"/>
          <w:sz w:val="32"/>
          <w:szCs w:val="32"/>
        </w:rPr>
        <w:t>一、《</w:t>
      </w:r>
      <w:r>
        <w:rPr>
          <w:rFonts w:hint="eastAsia" w:ascii="黑体" w:hAnsi="黑体" w:eastAsia="黑体"/>
          <w:sz w:val="32"/>
          <w:szCs w:val="32"/>
        </w:rPr>
        <w:t>暂行办法</w:t>
      </w:r>
      <w:r>
        <w:rPr>
          <w:rFonts w:hint="default" w:ascii="黑体" w:hAnsi="黑体" w:eastAsia="黑体"/>
          <w:sz w:val="32"/>
          <w:szCs w:val="32"/>
        </w:rPr>
        <w:t>》的意义</w:t>
      </w:r>
    </w:p>
    <w:p w14:paraId="1050183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进一步扩容区域文商旅体市场主体，完善载体配套，提升区域服务能级，丰富消费业态和场景，激发消费潜力，打造兼具餐饮购物、旅游观光、休闲度假、影视文化等功能的“港产城融合发展示范样板区”，东疆研究并起草《暂行办法》。</w:t>
      </w:r>
    </w:p>
    <w:p w14:paraId="06272A6B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二、《</w:t>
      </w:r>
      <w:r>
        <w:rPr>
          <w:rFonts w:hint="eastAsia" w:ascii="黑体" w:hAnsi="黑体" w:eastAsia="黑体"/>
          <w:sz w:val="32"/>
          <w:szCs w:val="32"/>
        </w:rPr>
        <w:t>暂行办法</w:t>
      </w:r>
      <w:r>
        <w:rPr>
          <w:rFonts w:ascii="黑体" w:hAnsi="黑体" w:eastAsia="黑体"/>
          <w:sz w:val="32"/>
          <w:szCs w:val="32"/>
        </w:rPr>
        <w:t>》的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制定</w:t>
      </w:r>
      <w:r>
        <w:rPr>
          <w:rFonts w:ascii="黑体" w:hAnsi="黑体" w:eastAsia="黑体"/>
          <w:sz w:val="32"/>
          <w:szCs w:val="32"/>
        </w:rPr>
        <w:t>依据</w:t>
      </w:r>
    </w:p>
    <w:p w14:paraId="12E581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以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《关于进一步培育新增长点繁荣文化和旅游消费的若干措施》（国发【2025】2号）、天津市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kern w:val="0"/>
          <w:sz w:val="32"/>
          <w:szCs w:val="32"/>
          <w:u w:val="none"/>
          <w:shd w:val="clear" w:fill="FFFFFF"/>
          <w:lang w:val="en-US" w:eastAsia="zh-CN" w:bidi="ar-SA"/>
        </w:rPr>
        <w:t>《关于加强文旅深度融合推动旅游业高质量发展的实施方案》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spacing w:val="0"/>
          <w:kern w:val="0"/>
          <w:sz w:val="32"/>
          <w:szCs w:val="32"/>
          <w:u w:val="none"/>
          <w:shd w:val="clear"/>
          <w:lang w:val="en-US" w:eastAsia="zh-CN" w:bidi="ar-SA"/>
        </w:rPr>
        <w:t>和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《天津东疆综合保税区进一步支持产业聚集和创新发展鼓励办法》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等为依据，结合东疆区域实际，特制定本《暂行办法》。</w:t>
      </w:r>
    </w:p>
    <w:p w14:paraId="0C6F7084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三</w:t>
      </w:r>
      <w:r>
        <w:rPr>
          <w:rFonts w:hint="default" w:ascii="黑体" w:hAnsi="黑体" w:eastAsia="黑体"/>
          <w:sz w:val="32"/>
          <w:szCs w:val="32"/>
        </w:rPr>
        <w:t>、《</w:t>
      </w:r>
      <w:r>
        <w:rPr>
          <w:rFonts w:hint="eastAsia" w:ascii="黑体" w:hAnsi="黑体" w:eastAsia="黑体"/>
          <w:sz w:val="32"/>
          <w:szCs w:val="32"/>
        </w:rPr>
        <w:t>暂行办法</w:t>
      </w:r>
      <w:r>
        <w:rPr>
          <w:rFonts w:hint="default" w:ascii="黑体" w:hAnsi="黑体" w:eastAsia="黑体"/>
          <w:sz w:val="32"/>
          <w:szCs w:val="32"/>
        </w:rPr>
        <w:t>》的主要内容</w:t>
      </w:r>
    </w:p>
    <w:p w14:paraId="3692DACE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暂行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办法</w:t>
      </w:r>
      <w:r>
        <w:rPr>
          <w:rFonts w:hint="default" w:ascii="Times New Roman" w:hAnsi="Times New Roman" w:eastAsia="仿宋_GB2312"/>
          <w:sz w:val="32"/>
          <w:szCs w:val="32"/>
        </w:rPr>
        <w:t>》共3章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/>
          <w:sz w:val="32"/>
          <w:szCs w:val="32"/>
        </w:rPr>
        <w:t>条内容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 w14:paraId="7CA15955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第一章总则。明确了</w:t>
      </w:r>
      <w:r>
        <w:rPr>
          <w:rFonts w:hint="default" w:ascii="Times New Roman" w:hAnsi="Times New Roman" w:eastAsia="仿宋_GB2312"/>
          <w:sz w:val="32"/>
          <w:szCs w:val="32"/>
        </w:rPr>
        <w:t>制定目的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和适用对象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hint="default" w:ascii="Times New Roman" w:hAnsi="Times New Roman" w:eastAsia="仿宋_GB2312"/>
          <w:sz w:val="32"/>
          <w:szCs w:val="32"/>
        </w:rPr>
        <w:t>明确</w:t>
      </w:r>
      <w:r>
        <w:rPr>
          <w:rFonts w:ascii="Times New Roman" w:hAnsi="Times New Roman" w:eastAsia="仿宋_GB2312"/>
          <w:sz w:val="32"/>
          <w:szCs w:val="32"/>
        </w:rPr>
        <w:t>了</w:t>
      </w:r>
      <w:r>
        <w:rPr>
          <w:rFonts w:hint="eastAsia" w:ascii="Times New Roman" w:hAnsi="Times New Roman" w:eastAsia="仿宋_GB2312"/>
          <w:sz w:val="32"/>
          <w:szCs w:val="32"/>
        </w:rPr>
        <w:t>办法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适用</w:t>
      </w:r>
      <w:r>
        <w:rPr>
          <w:rFonts w:hint="eastAsia" w:ascii="Times New Roman" w:hAnsi="Times New Roman" w:eastAsia="仿宋_GB2312"/>
          <w:sz w:val="32"/>
          <w:szCs w:val="32"/>
        </w:rPr>
        <w:t>的对象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是注册地在</w:t>
      </w:r>
      <w:r>
        <w:rPr>
          <w:rFonts w:hint="eastAsia" w:ascii="Times New Roman" w:hAnsi="Times New Roman" w:eastAsia="仿宋_GB2312"/>
          <w:sz w:val="32"/>
          <w:szCs w:val="32"/>
        </w:rPr>
        <w:t>东疆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具有独立法人资格且依法纳税的法人机构</w:t>
      </w:r>
      <w:r>
        <w:rPr>
          <w:rFonts w:ascii="仿宋_GB2312" w:hAnsi="仿宋_GB2312" w:eastAsia="仿宋_GB2312"/>
          <w:color w:val="333333"/>
          <w:sz w:val="32"/>
          <w:szCs w:val="32"/>
        </w:rPr>
        <w:t>。</w:t>
      </w:r>
      <w:r>
        <w:rPr>
          <w:rFonts w:hint="eastAsia" w:ascii="仿宋_GB2312" w:hAnsi="仿宋_GB2312" w:eastAsia="仿宋_GB2312"/>
          <w:color w:val="333333"/>
          <w:sz w:val="32"/>
          <w:szCs w:val="32"/>
          <w:lang w:val="en-US" w:eastAsia="zh-CN"/>
        </w:rPr>
        <w:t>重点支持企业在东疆综合保税区投资文商旅体项目、开展文商旅体活动、搭建消费场景、开发旅游产品及促进消费。</w:t>
      </w:r>
    </w:p>
    <w:p w14:paraId="03F56A2A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第二章支持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内容</w:t>
      </w:r>
      <w:r>
        <w:rPr>
          <w:rFonts w:ascii="Times New Roman" w:hAnsi="Times New Roman" w:eastAsia="仿宋_GB2312"/>
          <w:sz w:val="32"/>
          <w:szCs w:val="32"/>
        </w:rPr>
        <w:t>。明确了</w:t>
      </w:r>
      <w:r>
        <w:rPr>
          <w:rFonts w:hint="eastAsia" w:ascii="Times New Roman" w:hAnsi="Times New Roman" w:eastAsia="仿宋_GB2312"/>
          <w:sz w:val="32"/>
          <w:szCs w:val="32"/>
        </w:rPr>
        <w:t>支持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固定资产投资、支持场地载体租赁、支持住宿餐饮业运营、支持促消费活动运营、支持旅游产品开发、支持影视业发展。</w:t>
      </w:r>
    </w:p>
    <w:p w14:paraId="2662995F">
      <w:pPr>
        <w:pStyle w:val="14"/>
        <w:ind w:firstLine="640" w:firstLineChars="200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第三章附则。明确了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文商旅体项目的范围、与其他政策关系、实施期限</w:t>
      </w:r>
      <w:r>
        <w:rPr>
          <w:rFonts w:ascii="Times New Roman" w:hAnsi="Times New Roman" w:eastAsia="仿宋_GB2312"/>
          <w:sz w:val="32"/>
          <w:szCs w:val="32"/>
        </w:rPr>
        <w:t>、政策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监督</w:t>
      </w:r>
      <w:r>
        <w:rPr>
          <w:rFonts w:ascii="Times New Roman" w:hAnsi="Times New Roman" w:eastAsia="仿宋_GB2312"/>
          <w:sz w:val="32"/>
          <w:szCs w:val="32"/>
        </w:rPr>
        <w:t>和政策解释等内容。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C8BC1D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DBC985B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DBC985B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zOWUxMDNkNTAwMTQxZDUzYjc4Y2VjMDI2YzU5MGQifQ=="/>
  </w:docVars>
  <w:rsids>
    <w:rsidRoot w:val="00683441"/>
    <w:rsid w:val="0004188C"/>
    <w:rsid w:val="001E11D7"/>
    <w:rsid w:val="002D5D63"/>
    <w:rsid w:val="002E670E"/>
    <w:rsid w:val="00310A20"/>
    <w:rsid w:val="003410BF"/>
    <w:rsid w:val="004521A3"/>
    <w:rsid w:val="004733B4"/>
    <w:rsid w:val="004A59B4"/>
    <w:rsid w:val="006033CE"/>
    <w:rsid w:val="00683441"/>
    <w:rsid w:val="00865CF2"/>
    <w:rsid w:val="00876651"/>
    <w:rsid w:val="00905499"/>
    <w:rsid w:val="00AF210C"/>
    <w:rsid w:val="00B05EBE"/>
    <w:rsid w:val="00BC3CCF"/>
    <w:rsid w:val="00BF51C1"/>
    <w:rsid w:val="00DB5533"/>
    <w:rsid w:val="00F41791"/>
    <w:rsid w:val="00FD132D"/>
    <w:rsid w:val="00FF68F9"/>
    <w:rsid w:val="011E290E"/>
    <w:rsid w:val="05FE0BC2"/>
    <w:rsid w:val="07BA1B7F"/>
    <w:rsid w:val="08246E93"/>
    <w:rsid w:val="09DF5ED2"/>
    <w:rsid w:val="0B357E8B"/>
    <w:rsid w:val="157C3392"/>
    <w:rsid w:val="16841AF7"/>
    <w:rsid w:val="1C16340C"/>
    <w:rsid w:val="1DFE74B9"/>
    <w:rsid w:val="20977708"/>
    <w:rsid w:val="237B69D1"/>
    <w:rsid w:val="28FF0D0A"/>
    <w:rsid w:val="2E791E00"/>
    <w:rsid w:val="315D98EE"/>
    <w:rsid w:val="32445E9A"/>
    <w:rsid w:val="32A56128"/>
    <w:rsid w:val="353F1D93"/>
    <w:rsid w:val="357C7D38"/>
    <w:rsid w:val="35A006B3"/>
    <w:rsid w:val="38882912"/>
    <w:rsid w:val="3FAFCC3C"/>
    <w:rsid w:val="3FFBD22F"/>
    <w:rsid w:val="3FFF08ED"/>
    <w:rsid w:val="41B0638B"/>
    <w:rsid w:val="42E90D45"/>
    <w:rsid w:val="46FE2B69"/>
    <w:rsid w:val="49001F37"/>
    <w:rsid w:val="4CB50E52"/>
    <w:rsid w:val="4EAA085F"/>
    <w:rsid w:val="54F40C44"/>
    <w:rsid w:val="5FEB97B1"/>
    <w:rsid w:val="60EF4080"/>
    <w:rsid w:val="6AD171C4"/>
    <w:rsid w:val="6DCE25D5"/>
    <w:rsid w:val="6DF02DFD"/>
    <w:rsid w:val="6DF171BC"/>
    <w:rsid w:val="727C3F93"/>
    <w:rsid w:val="72F6C552"/>
    <w:rsid w:val="735DD834"/>
    <w:rsid w:val="74B638BE"/>
    <w:rsid w:val="75BEA858"/>
    <w:rsid w:val="770B4015"/>
    <w:rsid w:val="79613609"/>
    <w:rsid w:val="7BFE2B32"/>
    <w:rsid w:val="7CFFB0CA"/>
    <w:rsid w:val="7DBC66B8"/>
    <w:rsid w:val="7F3A1ACF"/>
    <w:rsid w:val="7F7E51EF"/>
    <w:rsid w:val="AFFBCA88"/>
    <w:rsid w:val="DEFDF45E"/>
    <w:rsid w:val="EBAB6DA0"/>
    <w:rsid w:val="EFFC0766"/>
    <w:rsid w:val="F1ED97E3"/>
    <w:rsid w:val="F3FA4186"/>
    <w:rsid w:val="F5DFEBFB"/>
    <w:rsid w:val="F73B58E7"/>
    <w:rsid w:val="F7AE89B1"/>
    <w:rsid w:val="FBFF1260"/>
    <w:rsid w:val="FBFF2E6D"/>
    <w:rsid w:val="FF7FFB75"/>
    <w:rsid w:val="FFF6A2CD"/>
    <w:rsid w:val="FFFDE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center"/>
    </w:pPr>
    <w:rPr>
      <w:rFonts w:ascii="微软雅黑" w:hAnsi="微软雅黑" w:eastAsia="微软雅黑" w:cs="Times New Roman"/>
      <w:kern w:val="2"/>
      <w:sz w:val="40"/>
      <w:szCs w:val="40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HTML Preformatted"/>
    <w:basedOn w:val="1"/>
    <w:link w:val="36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15">
    <w:name w:val="Title"/>
    <w:basedOn w:val="1"/>
    <w:next w:val="1"/>
    <w:link w:val="27"/>
    <w:qFormat/>
    <w:uiPriority w:val="10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明显强调1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明显参考1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HTML 预设格式 字符"/>
    <w:basedOn w:val="17"/>
    <w:link w:val="14"/>
    <w:qFormat/>
    <w:uiPriority w:val="0"/>
    <w:rPr>
      <w:rFonts w:ascii="宋体" w:hAnsi="宋体" w:eastAsia="宋体" w:cs="Times New Roman"/>
      <w:kern w:val="0"/>
      <w:sz w:val="24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674</Words>
  <Characters>681</Characters>
  <Lines>8</Lines>
  <Paragraphs>2</Paragraphs>
  <TotalTime>10</TotalTime>
  <ScaleCrop>false</ScaleCrop>
  <LinksUpToDate>false</LinksUpToDate>
  <CharactersWithSpaces>681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2024-06-01T02:10:00Z</dcterms:created>
  <dc:creator>Student</dc:creator>
  <cp:lastModifiedBy>小风筝_薇</cp:lastModifiedBy>
  <cp:lastPrinted>2025-01-09T21:49:00Z</cp:lastPrinted>
  <dcterms:modified xsi:type="dcterms:W3CDTF">2025-04-22T08:15:53Z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F6E6EAEA6D624421AFF203BE14372C27_13</vt:lpwstr>
  </property>
  <property fmtid="{D5CDD505-2E9C-101B-9397-08002B2CF9AE}" pid="4" name="KSOTemplateDocerSaveRecord">
    <vt:lpwstr>eyJoZGlkIjoiMTcwM2UwMzQ1YjQyMmFiZTY3M2FkNzMzNWI2MDM2ZWYiLCJ1c2VySWQiOiIxNDk4ODM2MTQ0In0=</vt:lpwstr>
  </property>
</Properties>
</file>