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关于《</w:t>
      </w:r>
      <w:r>
        <w:rPr>
          <w:rFonts w:hint="eastAsia" w:ascii="方正小标宋简体" w:hAnsi="Tahoma" w:eastAsia="方正小标宋简体" w:cs="Tahoma"/>
          <w:color w:val="auto"/>
          <w:kern w:val="2"/>
          <w:sz w:val="44"/>
          <w:szCs w:val="44"/>
          <w:highlight w:val="none"/>
          <w:u w:val="none"/>
        </w:rPr>
        <w:t>天津东疆综合保税区关于促进</w:t>
      </w:r>
      <w:r>
        <w:rPr>
          <w:rFonts w:hint="eastAsia" w:ascii="方正小标宋简体" w:hAnsi="Tahoma" w:eastAsia="方正小标宋简体" w:cs="Tahoma"/>
          <w:color w:val="auto"/>
          <w:kern w:val="2"/>
          <w:sz w:val="44"/>
          <w:szCs w:val="44"/>
          <w:highlight w:val="none"/>
          <w:u w:val="none"/>
          <w:lang w:val="en-US" w:eastAsia="zh-CN"/>
        </w:rPr>
        <w:t>制造业高质量</w:t>
      </w:r>
      <w:r>
        <w:rPr>
          <w:rFonts w:hint="eastAsia" w:ascii="方正小标宋简体" w:hAnsi="Tahoma" w:eastAsia="方正小标宋简体" w:cs="Tahoma"/>
          <w:color w:val="auto"/>
          <w:kern w:val="2"/>
          <w:sz w:val="44"/>
          <w:szCs w:val="44"/>
          <w:highlight w:val="none"/>
          <w:u w:val="none"/>
        </w:rPr>
        <w:t>发展</w:t>
      </w:r>
      <w:r>
        <w:rPr>
          <w:rFonts w:hint="eastAsia" w:ascii="方正小标宋简体" w:hAnsi="Tahoma" w:eastAsia="方正小标宋简体" w:cs="Tahoma"/>
          <w:color w:val="auto"/>
          <w:kern w:val="2"/>
          <w:sz w:val="44"/>
          <w:szCs w:val="44"/>
          <w:highlight w:val="none"/>
          <w:u w:val="none"/>
          <w:lang w:val="en-US" w:eastAsia="zh-CN"/>
        </w:rPr>
        <w:t>的暂行措施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（征求意见稿）</w:t>
      </w:r>
      <w:r>
        <w:rPr>
          <w:rFonts w:ascii="Times New Roman" w:hAnsi="Times New Roman" w:eastAsia="方正小标宋简体"/>
          <w:sz w:val="44"/>
          <w:szCs w:val="44"/>
        </w:rPr>
        <w:t>》的</w:t>
      </w:r>
      <w:r>
        <w:rPr>
          <w:rFonts w:hint="eastAsia" w:ascii="Times New Roman" w:hAnsi="Times New Roman" w:eastAsia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为落实天津市制造业高质量发展行动，坚持以新型工业化为引领，发挥自贸区、综保区功能，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天津</w:t>
      </w:r>
      <w:r>
        <w:rPr>
          <w:rFonts w:ascii="Times New Roman" w:hAnsi="Times New Roman" w:eastAsia="仿宋_GB2312"/>
          <w:sz w:val="32"/>
          <w:szCs w:val="32"/>
        </w:rPr>
        <w:t>东疆综合保税区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以下简称“东疆”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研</w:t>
      </w:r>
      <w:r>
        <w:rPr>
          <w:rFonts w:hint="default" w:ascii="Times New Roman" w:hAnsi="Times New Roman" w:eastAsia="仿宋_GB2312"/>
          <w:sz w:val="32"/>
          <w:szCs w:val="32"/>
        </w:rPr>
        <w:t>究制定了《天津东疆综合保税区关于促进制造业高质量发展的暂行措施（征求意见稿）》</w:t>
      </w:r>
      <w:r>
        <w:rPr>
          <w:rFonts w:ascii="Times New Roman" w:hAnsi="Times New Roman" w:eastAsia="仿宋_GB2312"/>
          <w:sz w:val="32"/>
          <w:szCs w:val="32"/>
        </w:rPr>
        <w:t>（以下简称“暂行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措施</w:t>
      </w:r>
      <w:r>
        <w:rPr>
          <w:rFonts w:ascii="Times New Roman" w:hAnsi="Times New Roman" w:eastAsia="仿宋_GB2312"/>
          <w:sz w:val="32"/>
          <w:szCs w:val="32"/>
        </w:rPr>
        <w:t>”）。</w:t>
      </w:r>
      <w:r>
        <w:rPr>
          <w:rFonts w:hint="default" w:ascii="Times New Roman" w:hAnsi="Times New Roman" w:eastAsia="仿宋_GB2312"/>
          <w:sz w:val="32"/>
          <w:szCs w:val="32"/>
        </w:rPr>
        <w:t>现将有关</w:t>
      </w:r>
      <w:r>
        <w:rPr>
          <w:rFonts w:ascii="Times New Roman" w:hAnsi="Times New Roman" w:eastAsia="仿宋_GB2312"/>
          <w:sz w:val="32"/>
          <w:szCs w:val="32"/>
        </w:rPr>
        <w:t>起草</w:t>
      </w:r>
      <w:r>
        <w:rPr>
          <w:rFonts w:hint="default" w:ascii="Times New Roman" w:hAnsi="Times New Roman" w:eastAsia="仿宋_GB2312"/>
          <w:sz w:val="32"/>
          <w:szCs w:val="32"/>
        </w:rPr>
        <w:t>情况说明如下：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一、《</w:t>
      </w:r>
      <w:r>
        <w:rPr>
          <w:rFonts w:hint="eastAsia" w:ascii="黑体" w:hAnsi="黑体" w:eastAsia="黑体"/>
          <w:sz w:val="32"/>
          <w:szCs w:val="32"/>
        </w:rPr>
        <w:t>暂行措施</w:t>
      </w:r>
      <w:r>
        <w:rPr>
          <w:rFonts w:hint="default" w:ascii="黑体" w:hAnsi="黑体" w:eastAsia="黑体"/>
          <w:sz w:val="32"/>
          <w:szCs w:val="32"/>
        </w:rPr>
        <w:t>》的意义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为依托东疆自贸试验区和综合保税区功能政策叠加优势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扎实推进天津制造业高质量发展行动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，大力推动制造业高端化、智能化、绿色化发展，深化重点产业链建设，明确东疆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制造业产业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发展支持对象、支持措施及相关管理要求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二、《</w:t>
      </w:r>
      <w:r>
        <w:rPr>
          <w:rFonts w:hint="eastAsia" w:ascii="黑体" w:hAnsi="黑体" w:eastAsia="黑体"/>
          <w:sz w:val="32"/>
          <w:szCs w:val="32"/>
        </w:rPr>
        <w:t>暂行措施</w:t>
      </w:r>
      <w:r>
        <w:rPr>
          <w:rFonts w:ascii="黑体" w:hAnsi="黑体" w:eastAsia="黑体"/>
          <w:sz w:val="32"/>
          <w:szCs w:val="32"/>
        </w:rPr>
        <w:t>》的起草依据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以‌《天津市智能制造发展“十四五”专项规划》、《天津市促进港产城高质量融合发展的政策措施》等为依据，结合东疆区域实际，特制定本《暂行措施》。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default" w:ascii="黑体" w:hAnsi="黑体" w:eastAsia="黑体"/>
          <w:sz w:val="32"/>
          <w:szCs w:val="32"/>
        </w:rPr>
        <w:t>、《</w:t>
      </w:r>
      <w:r>
        <w:rPr>
          <w:rFonts w:hint="eastAsia" w:ascii="黑体" w:hAnsi="黑体" w:eastAsia="黑体"/>
          <w:sz w:val="32"/>
          <w:szCs w:val="32"/>
        </w:rPr>
        <w:t>暂行措施</w:t>
      </w:r>
      <w:r>
        <w:rPr>
          <w:rFonts w:hint="default" w:ascii="黑体" w:hAnsi="黑体" w:eastAsia="黑体"/>
          <w:sz w:val="32"/>
          <w:szCs w:val="32"/>
        </w:rPr>
        <w:t>》的主要内容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暂行措施</w:t>
      </w:r>
      <w:r>
        <w:rPr>
          <w:rFonts w:hint="default" w:ascii="Times New Roman" w:hAnsi="Times New Roman" w:eastAsia="仿宋_GB2312"/>
          <w:sz w:val="32"/>
          <w:szCs w:val="32"/>
        </w:rPr>
        <w:t>》共3章1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/>
          <w:sz w:val="32"/>
          <w:szCs w:val="32"/>
        </w:rPr>
        <w:t>条内容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第一章总则。明确了</w:t>
      </w:r>
      <w:r>
        <w:rPr>
          <w:rFonts w:hint="default" w:ascii="Times New Roman" w:hAnsi="Times New Roman" w:eastAsia="仿宋_GB2312"/>
          <w:sz w:val="32"/>
          <w:szCs w:val="32"/>
        </w:rPr>
        <w:t>制定目的、支持企业类型和支持企业范围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/>
          <w:sz w:val="32"/>
          <w:szCs w:val="32"/>
        </w:rPr>
        <w:t>明确</w:t>
      </w:r>
      <w:r>
        <w:rPr>
          <w:rFonts w:ascii="Times New Roman" w:hAnsi="Times New Roman" w:eastAsia="仿宋_GB2312"/>
          <w:sz w:val="32"/>
          <w:szCs w:val="32"/>
        </w:rPr>
        <w:t>了</w:t>
      </w:r>
      <w:r>
        <w:rPr>
          <w:rFonts w:hint="eastAsia" w:ascii="Times New Roman" w:hAnsi="Times New Roman" w:eastAsia="仿宋_GB2312"/>
          <w:sz w:val="32"/>
          <w:szCs w:val="32"/>
        </w:rPr>
        <w:t>措施奖励的对象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是注册地在</w:t>
      </w:r>
      <w:r>
        <w:rPr>
          <w:rFonts w:hint="eastAsia" w:ascii="Times New Roman" w:hAnsi="Times New Roman" w:eastAsia="仿宋_GB2312"/>
          <w:sz w:val="32"/>
          <w:szCs w:val="32"/>
        </w:rPr>
        <w:t>东疆并实际入区生产经营、合法经营、依法纳税的企业法人</w:t>
      </w:r>
      <w:r>
        <w:rPr>
          <w:rFonts w:ascii="仿宋_GB2312" w:hAnsi="仿宋_GB2312" w:eastAsia="仿宋_GB2312"/>
          <w:color w:val="333333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第二章支持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内容</w:t>
      </w:r>
      <w:r>
        <w:rPr>
          <w:rFonts w:ascii="Times New Roman" w:hAnsi="Times New Roman" w:eastAsia="仿宋_GB2312"/>
          <w:sz w:val="32"/>
          <w:szCs w:val="32"/>
        </w:rPr>
        <w:t>。明确了</w:t>
      </w:r>
      <w:r>
        <w:rPr>
          <w:rFonts w:hint="eastAsia" w:ascii="Times New Roman" w:hAnsi="Times New Roman" w:eastAsia="仿宋_GB2312"/>
          <w:sz w:val="32"/>
          <w:szCs w:val="32"/>
        </w:rPr>
        <w:t>鼓励新型保税业态发展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保税加工园区租金支持、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创新产业园租金支持。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明确了鼓励引进固定资产投资，提供固定资产投资奖励。明确了支持工业企业发展壮大。明确了支持创新平台发展。明确了加强区域人才建设，提供人才安居奖励。明确了支持企业有效对接资本市场。明确了鼓励深化产业基金投资引导功能。明确了要强化区属国企资源整合配置作用。明确了要加速开放场景应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第三章附则。明确了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实施期限</w:t>
      </w:r>
      <w:r>
        <w:rPr>
          <w:rFonts w:ascii="Times New Roman" w:hAnsi="Times New Roman" w:eastAsia="仿宋_GB2312"/>
          <w:sz w:val="32"/>
          <w:szCs w:val="32"/>
        </w:rPr>
        <w:t>、政策调整、政策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监督</w:t>
      </w:r>
      <w:r>
        <w:rPr>
          <w:rFonts w:ascii="Times New Roman" w:hAnsi="Times New Roman" w:eastAsia="仿宋_GB2312"/>
          <w:sz w:val="32"/>
          <w:szCs w:val="32"/>
        </w:rPr>
        <w:t>和政策解释等内容。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黑体" w:hAnsi="黑体" w:eastAsia="黑体"/>
          <w:sz w:val="32"/>
          <w:szCs w:val="32"/>
          <w:highlight w:val="none"/>
        </w:rPr>
        <w:t>、</w:t>
      </w:r>
      <w:r>
        <w:rPr>
          <w:rFonts w:ascii="黑体" w:hAnsi="黑体" w:eastAsia="黑体"/>
          <w:sz w:val="32"/>
          <w:szCs w:val="32"/>
          <w:highlight w:val="none"/>
        </w:rPr>
        <w:t>《</w:t>
      </w:r>
      <w:r>
        <w:rPr>
          <w:rFonts w:hint="eastAsia" w:ascii="黑体" w:hAnsi="黑体" w:eastAsia="黑体"/>
          <w:sz w:val="32"/>
          <w:szCs w:val="32"/>
          <w:highlight w:val="none"/>
        </w:rPr>
        <w:t>暂行措施</w:t>
      </w:r>
      <w:r>
        <w:rPr>
          <w:rFonts w:ascii="黑体" w:hAnsi="黑体" w:eastAsia="黑体"/>
          <w:sz w:val="32"/>
          <w:szCs w:val="32"/>
          <w:highlight w:val="none"/>
        </w:rPr>
        <w:t>》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的综合评定依据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对创新产业园入驻项目将根据项目定位、产业链匹配度、工业产值、纳税贡献、固定资产投资、科技相关资质、外贸出口额、人才带动共八个维度进行综合评定。根据综合测评结果评定企业是否为制造业企业总部、优质制造业项目、潜力制造业项目。</w:t>
      </w:r>
    </w:p>
    <w:sectPr>
      <w:footerReference r:id="rId5" w:type="default"/>
      <w:pgSz w:w="11906" w:h="16838"/>
      <w:pgMar w:top="2098" w:right="1559" w:bottom="1701" w:left="155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OWUxMDNkNTAwMTQxZDUzYjc4Y2VjMDI2YzU5MGQifQ=="/>
  </w:docVars>
  <w:rsids>
    <w:rsidRoot w:val="00683441"/>
    <w:rsid w:val="0004188C"/>
    <w:rsid w:val="001E11D7"/>
    <w:rsid w:val="002D5D63"/>
    <w:rsid w:val="002E670E"/>
    <w:rsid w:val="00310A20"/>
    <w:rsid w:val="003410BF"/>
    <w:rsid w:val="004521A3"/>
    <w:rsid w:val="004733B4"/>
    <w:rsid w:val="004A59B4"/>
    <w:rsid w:val="00683441"/>
    <w:rsid w:val="00865CF2"/>
    <w:rsid w:val="00876651"/>
    <w:rsid w:val="00AF210C"/>
    <w:rsid w:val="00B05EBE"/>
    <w:rsid w:val="00BC3CCF"/>
    <w:rsid w:val="00BF51C1"/>
    <w:rsid w:val="00DB5533"/>
    <w:rsid w:val="00F41791"/>
    <w:rsid w:val="00FD132D"/>
    <w:rsid w:val="00FF68F9"/>
    <w:rsid w:val="011E290E"/>
    <w:rsid w:val="09DF5ED2"/>
    <w:rsid w:val="157C3392"/>
    <w:rsid w:val="16841AF7"/>
    <w:rsid w:val="1C16340C"/>
    <w:rsid w:val="237B69D1"/>
    <w:rsid w:val="32445E9A"/>
    <w:rsid w:val="32A56128"/>
    <w:rsid w:val="38882912"/>
    <w:rsid w:val="3FFF08ED"/>
    <w:rsid w:val="41B0638B"/>
    <w:rsid w:val="42E90D45"/>
    <w:rsid w:val="60EF4080"/>
    <w:rsid w:val="6AD171C4"/>
    <w:rsid w:val="6DF171BC"/>
    <w:rsid w:val="727C3F93"/>
    <w:rsid w:val="74B638BE"/>
    <w:rsid w:val="7CFFB0CA"/>
    <w:rsid w:val="7DBC66B8"/>
    <w:rsid w:val="7F3A1ACF"/>
    <w:rsid w:val="DEFDF45E"/>
    <w:rsid w:val="EBAB6DA0"/>
    <w:rsid w:val="FFF6A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ascii="微软雅黑" w:hAnsi="微软雅黑" w:eastAsia="微软雅黑" w:cs="Times New Roman"/>
      <w:kern w:val="2"/>
      <w:sz w:val="40"/>
      <w:szCs w:val="4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TML Preformatted"/>
    <w:basedOn w:val="1"/>
    <w:link w:val="3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HTML 预设格式 字符"/>
    <w:basedOn w:val="17"/>
    <w:link w:val="14"/>
    <w:qFormat/>
    <w:uiPriority w:val="0"/>
    <w:rPr>
      <w:rFonts w:ascii="宋体" w:hAnsi="宋体" w:eastAsia="宋体" w:cs="Times New Roman"/>
      <w:kern w:val="0"/>
      <w:sz w:val="24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721</Characters>
  <Lines>8</Lines>
  <Paragraphs>2</Paragraphs>
  <TotalTime>7</TotalTime>
  <ScaleCrop>false</ScaleCrop>
  <LinksUpToDate>false</LinksUpToDate>
  <CharactersWithSpaces>721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2024-05-29T10:10:00Z</dcterms:created>
  <dc:creator>Student</dc:creator>
  <cp:lastModifiedBy>sugon</cp:lastModifiedBy>
  <cp:lastPrinted>2024-05-30T08:51:00Z</cp:lastPrinted>
  <dcterms:modified xsi:type="dcterms:W3CDTF">2024-08-21T14:28:29Z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634F763F87E64CDEAF545FD91D1F8BD3_13</vt:lpwstr>
  </property>
</Properties>
</file>