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天津东疆综合保税区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支持低空经济高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质量发展若干措施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  <w:t>第一条 支持目的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为贯彻落实天津市推进制造业高质量发展、港产城融合发展等“十项行动”举措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天津东疆综合保税区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管理委员会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以下简称“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深入分析区域资源禀赋，聚焦低空经济领域，推动低空经济产业与东疆航运物流、国际贸易、金融服务、文化旅游等重点产业深度融合，打造低空经济创新发展高地，制定本措施。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  <w:t xml:space="preserve">政策依据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本措施遵循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Hans" w:bidi="ar-SA"/>
        </w:rPr>
        <w:t>天津市推动制造业高质量发展若干政策措施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、《天津东疆综合保税区进一步支持产业聚集和创新发展鼓励办法》（修订稿）制定和执行。管委会各相关部门依据工作职责，牵头政策制定与执行相关事项。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第三条 适用范围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本措施所称低空经济企业，是指在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天津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东疆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综合保税区（以下简称“东疆”）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注册登记具有独立法人资格，主营业务为通用航空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无人驾驶航空器整机及零部件制造、低空飞行、运营及保障等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低空经济产业链条相关企业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；所称无人驾驶航空器等概念与国务院、中央军委颁布的《无人驾驶航空器飞行管理暂行条例》保持一致。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宋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</w:rPr>
        <w:t xml:space="preserve">章 </w:t>
      </w:r>
      <w:r>
        <w:rPr>
          <w:rFonts w:ascii="黑体" w:hAnsi="宋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  <w:t>支持内容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第四条 支持低空经济重大项目落户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（一）对新注册、迁入的先进航空运输（Advanced Air Mobility，简称“AAM”）范围内的如电动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混动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垂直起降航空器（eVTOL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VTOL）、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工业级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无人机等整机研发制造、核心零部件研发制造及商业运营等低空经济企业，实缴注册资本在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000万元以上且落户第二年产值规模或营业收入在2000万元以上的，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</w:rPr>
        <w:t>按实缴注册资本的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</w:rPr>
        <w:t>%给予不超过100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</w:rPr>
        <w:t>万元的落户奖励。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（二）结合企业经营情况、项目情况、项目主要采购情况等，对补足航空产业关键环节短板的重点项目，按照实际投资额的10%，给予最高250万元支持。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第五条 支持适航取证及军工资质认定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（一）对取得国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家及国际民用航空器型号合格证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（TC）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、生产许可证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（P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C）的低空经济企业给予奖励，其中eVTOL航空器1500万元，大型无人驾驶航空器500万元，中型无人驾驶航空器300万元。每个企业每年资助不超过3000万元，同一型号仅奖励一次。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对取得国家及国际民用航空器维修许可证的低空经济企业，分级分类给予最高100万元一次性奖励。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对新取得军工资质的低空经济企业，每取得一个资质证书给予20万元一次性奖励。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第六条 支持低空基础设施配套建设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对在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东疆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建设低空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经济配套的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跑道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消防设施、通讯导航设备、气象观测设备、辅助设备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以及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无人机小型起降点、智能起降柜机、中型起降场、eVTOL起降场、直升机起降平台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、试飞测试基地、飞行营地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等相关基础设施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的企业，基础设施通过竣工验收后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，按照项目实际新增固定资产投资额（不包含航空器采购及软件系统）的50%给予一次性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奖励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，最高不超过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00万元。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第七条 支持新产品推广应用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对列入最新版《天津市首台（套）重大技术装备推广应用指导目录》或《天津东疆综合保税区低空经济首台（套）重大技术装备推广应用指导目录》并推广应用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重大技术装备首台（套）的企业，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按照销售额的20%给予最高不超过500万元的支持。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第八条 支持低空经济标准规范制订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鼓励在东疆内的科研机构、行业协会、产业联盟、企业等牵头制定并发布低空制造、低空应用、低空保障等领域国际标准、国家标准、行业标准、地方标准、团体标准，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实施后取得良好成效的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分别对应给予100万元、 50万元、30万元、10万元、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万元奖励。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第九条 支持新型航空器及零部件保税维修创新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支持国产新型航空器出口拓展海外市场，鼓励企业通过开展集团自产产品的保税维修业务，降低售后服务成本。支持企业扩大新型航空器及零部件保税维修产品类型，对属于《禁止进口的旧机电产品目录》的产品，积极帮助企业向上级部门争取政策创新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第十条 加强产业人才培养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引进低空经济领域高端人才，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对入选天津市卓越制造人才、滨海新区创新创业领军人才等项目的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，给予最高150万元奖励。深化低空经济领域产教融合，支持东疆低空经济企业与国内顶尖高校、科研院所洽谈合作，推进相关领域前沿技术研究、关键核心技术攻关、科技成果转化。鼓励东疆低空经济企业与天津本地高职院校开展专业学科共建，培养、储备无人驾驶员（飞手）等低空经济领域产业技术人才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第十一条 打造低空飞行品牌赛事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206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对在东疆举办或新创建具有全国品牌影响力的低空飞行赛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的企事业单位或行业组织，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经审计后，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对活动承办方按照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赛事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项目合同核定金额30%的标准给予一次性补助，单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活动最高不超过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0万元。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第十二条 加强金融支持服务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设立低空经济产业基金，发挥政府性产业基金、国有投资基金对低空经济领域投资促进的前置牵引作用，支持投贷联动，探索研究基金容错机制，围绕低空经济企业全生命周期打造基金矩阵。发挥东疆航空金融优势，鼓励融资租赁公司开展eVTOL等新型航空器作为租赁标的物，探索新型航空器融资租赁出口，增加整机企业国际竞争力。鼓励金融、保险机构创新金融产品，丰富低空经济领域融资租赁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保险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资产评估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知识产权质押融资、融资担保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等业务模式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在东疆探索出台适合新兴航空器运营及租赁相关的产品。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第十三条 拓展低空经济应用场景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206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（一）对在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开通低空物流配送试点航线（起终点至少有1个在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内）的企业给予奖励，对取得行业主管部门审批并使用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大型、中型、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小型无人驾驶航空器常态化运营的航线，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分级分类给予奖励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（二）依托东疆文旅场景，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每年发放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一定额度的低空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文旅消费券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用于eVTOL、直升机、飞艇、热气球等观光游览和运动体验活动，促进航空体育运动、文化旅游产业融合发展。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206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u w:val="none"/>
          <w:lang w:val="en-US" w:eastAsia="zh-Hans"/>
        </w:rPr>
        <w:t>第十四条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本措施与国家、天津市、滨海新区同类型奖补不重复享受。国家、天津市、滨海新区有同类政策的，先执行国家、天津市、滨海新区政策，差额部分支持本措施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同一企业或同一项目符合多项奖补政策措施的，按就高不重复原则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兑现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u w:val="none"/>
          <w:lang w:val="en-US" w:eastAsia="zh-Hans"/>
        </w:rPr>
        <w:t>第十五条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管委会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每年对上述措施实施的绩效进行评估，结合下一年工作重点，动态调整支持方向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出台低空经济支持目录和对应的申报指南。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u w:val="none"/>
          <w:lang w:val="en-US" w:eastAsia="zh-Hans"/>
        </w:rPr>
        <w:t>第十六条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本措施自印发之日起实施，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试行有效期两年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</w:rPr>
        <w:t>由管委会负责解释。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A96D4"/>
    <w:multiLevelType w:val="singleLevel"/>
    <w:tmpl w:val="882A96D4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9C2735D"/>
    <w:multiLevelType w:val="singleLevel"/>
    <w:tmpl w:val="29C2735D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6040CA90"/>
    <w:multiLevelType w:val="singleLevel"/>
    <w:tmpl w:val="6040CA9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OWUxMDNkNTAwMTQxZDUzYjc4Y2VjMDI2YzU5MGQifQ=="/>
  </w:docVars>
  <w:rsids>
    <w:rsidRoot w:val="00000000"/>
    <w:rsid w:val="000E7B1F"/>
    <w:rsid w:val="002235CA"/>
    <w:rsid w:val="01BA6E2C"/>
    <w:rsid w:val="01EC3E90"/>
    <w:rsid w:val="02571F5C"/>
    <w:rsid w:val="0264611C"/>
    <w:rsid w:val="02941615"/>
    <w:rsid w:val="03522419"/>
    <w:rsid w:val="03555A65"/>
    <w:rsid w:val="0364199E"/>
    <w:rsid w:val="038720C2"/>
    <w:rsid w:val="03BE185C"/>
    <w:rsid w:val="041B36CB"/>
    <w:rsid w:val="04223B99"/>
    <w:rsid w:val="048B7990"/>
    <w:rsid w:val="05094D59"/>
    <w:rsid w:val="0591547A"/>
    <w:rsid w:val="05BD0878"/>
    <w:rsid w:val="05E27A84"/>
    <w:rsid w:val="05EF21A1"/>
    <w:rsid w:val="05F11A75"/>
    <w:rsid w:val="05FA2249"/>
    <w:rsid w:val="064424ED"/>
    <w:rsid w:val="065C2940"/>
    <w:rsid w:val="066E7569"/>
    <w:rsid w:val="06AD62E4"/>
    <w:rsid w:val="06D27AF8"/>
    <w:rsid w:val="07A5520D"/>
    <w:rsid w:val="07E35FFF"/>
    <w:rsid w:val="07E850FA"/>
    <w:rsid w:val="07EA70C4"/>
    <w:rsid w:val="07EC4BEA"/>
    <w:rsid w:val="07EF0236"/>
    <w:rsid w:val="082C3E75"/>
    <w:rsid w:val="086168CD"/>
    <w:rsid w:val="08626C5A"/>
    <w:rsid w:val="08766BA9"/>
    <w:rsid w:val="08EC575D"/>
    <w:rsid w:val="09095327"/>
    <w:rsid w:val="09440A55"/>
    <w:rsid w:val="096864F2"/>
    <w:rsid w:val="09CF031F"/>
    <w:rsid w:val="0A051F93"/>
    <w:rsid w:val="0A1421D6"/>
    <w:rsid w:val="0A2F0DBE"/>
    <w:rsid w:val="0A312D88"/>
    <w:rsid w:val="0A3B3C06"/>
    <w:rsid w:val="0A586566"/>
    <w:rsid w:val="0A654B02"/>
    <w:rsid w:val="0AC92FC0"/>
    <w:rsid w:val="0AD100C7"/>
    <w:rsid w:val="0B1306DF"/>
    <w:rsid w:val="0B5807E8"/>
    <w:rsid w:val="0B680A2B"/>
    <w:rsid w:val="0BA457DB"/>
    <w:rsid w:val="0BB772BD"/>
    <w:rsid w:val="0BC1638D"/>
    <w:rsid w:val="0BE36304"/>
    <w:rsid w:val="0C085D6A"/>
    <w:rsid w:val="0C0F0EA7"/>
    <w:rsid w:val="0C4A6383"/>
    <w:rsid w:val="0C6531BD"/>
    <w:rsid w:val="0C7D22B4"/>
    <w:rsid w:val="0CC51EAD"/>
    <w:rsid w:val="0CF00BE2"/>
    <w:rsid w:val="0D181FDD"/>
    <w:rsid w:val="0D4E7778"/>
    <w:rsid w:val="0D576FA9"/>
    <w:rsid w:val="0D705975"/>
    <w:rsid w:val="0DA9532B"/>
    <w:rsid w:val="0DAB2E51"/>
    <w:rsid w:val="0E3C7F4D"/>
    <w:rsid w:val="0E9E29B6"/>
    <w:rsid w:val="0EC56195"/>
    <w:rsid w:val="0EE8142C"/>
    <w:rsid w:val="0F227143"/>
    <w:rsid w:val="0F7E0C6E"/>
    <w:rsid w:val="0FA61B22"/>
    <w:rsid w:val="0FE63797"/>
    <w:rsid w:val="0FF23675"/>
    <w:rsid w:val="10030D22"/>
    <w:rsid w:val="109E6C9D"/>
    <w:rsid w:val="10D47789"/>
    <w:rsid w:val="11254CC9"/>
    <w:rsid w:val="11360C84"/>
    <w:rsid w:val="114C66F9"/>
    <w:rsid w:val="11902A8A"/>
    <w:rsid w:val="119B4F8B"/>
    <w:rsid w:val="11B5604C"/>
    <w:rsid w:val="125515DD"/>
    <w:rsid w:val="12661A3D"/>
    <w:rsid w:val="127F48AC"/>
    <w:rsid w:val="12B44556"/>
    <w:rsid w:val="12C10A21"/>
    <w:rsid w:val="13082AF4"/>
    <w:rsid w:val="13203999"/>
    <w:rsid w:val="134770B1"/>
    <w:rsid w:val="136C4E31"/>
    <w:rsid w:val="136C6BDF"/>
    <w:rsid w:val="137D0DEC"/>
    <w:rsid w:val="13C62793"/>
    <w:rsid w:val="13F23584"/>
    <w:rsid w:val="13F82B68"/>
    <w:rsid w:val="140B289C"/>
    <w:rsid w:val="141F6347"/>
    <w:rsid w:val="142B4CEC"/>
    <w:rsid w:val="145E0C1D"/>
    <w:rsid w:val="148E0DD7"/>
    <w:rsid w:val="14C00768"/>
    <w:rsid w:val="15211C4B"/>
    <w:rsid w:val="152534E9"/>
    <w:rsid w:val="15282FD9"/>
    <w:rsid w:val="15610299"/>
    <w:rsid w:val="1568787A"/>
    <w:rsid w:val="15A959CF"/>
    <w:rsid w:val="15B64A89"/>
    <w:rsid w:val="163F682C"/>
    <w:rsid w:val="16642F7F"/>
    <w:rsid w:val="16656FAB"/>
    <w:rsid w:val="17602EFE"/>
    <w:rsid w:val="17CF3BE0"/>
    <w:rsid w:val="180C0990"/>
    <w:rsid w:val="18245CDA"/>
    <w:rsid w:val="184A3267"/>
    <w:rsid w:val="1864257A"/>
    <w:rsid w:val="188E5849"/>
    <w:rsid w:val="18C15C1F"/>
    <w:rsid w:val="19137AFC"/>
    <w:rsid w:val="19940C3D"/>
    <w:rsid w:val="19D61256"/>
    <w:rsid w:val="19E51499"/>
    <w:rsid w:val="1A2024D1"/>
    <w:rsid w:val="1A240213"/>
    <w:rsid w:val="1A604FC3"/>
    <w:rsid w:val="1ABFC444"/>
    <w:rsid w:val="1AD02149"/>
    <w:rsid w:val="1AF20311"/>
    <w:rsid w:val="1B1E2EB4"/>
    <w:rsid w:val="1B627A11"/>
    <w:rsid w:val="1B7B0307"/>
    <w:rsid w:val="1BB52CDC"/>
    <w:rsid w:val="1C2C33AF"/>
    <w:rsid w:val="1C915908"/>
    <w:rsid w:val="1C9F1DD3"/>
    <w:rsid w:val="1CC17F9B"/>
    <w:rsid w:val="1CD13D54"/>
    <w:rsid w:val="1CDC3027"/>
    <w:rsid w:val="1D2247B2"/>
    <w:rsid w:val="1D2422D8"/>
    <w:rsid w:val="1D4E37F9"/>
    <w:rsid w:val="1DC85359"/>
    <w:rsid w:val="1DED1FB5"/>
    <w:rsid w:val="1E4470D6"/>
    <w:rsid w:val="1E4E3AB1"/>
    <w:rsid w:val="1F7E6617"/>
    <w:rsid w:val="1F9C4CF0"/>
    <w:rsid w:val="1FB45B95"/>
    <w:rsid w:val="1FBF278C"/>
    <w:rsid w:val="1FE00977"/>
    <w:rsid w:val="206C6470"/>
    <w:rsid w:val="2096173F"/>
    <w:rsid w:val="20B23F08"/>
    <w:rsid w:val="21117017"/>
    <w:rsid w:val="214178FD"/>
    <w:rsid w:val="214473ED"/>
    <w:rsid w:val="21584C46"/>
    <w:rsid w:val="216C51F8"/>
    <w:rsid w:val="217A696B"/>
    <w:rsid w:val="218B501C"/>
    <w:rsid w:val="219914E7"/>
    <w:rsid w:val="21CF4F08"/>
    <w:rsid w:val="21E40288"/>
    <w:rsid w:val="2234120F"/>
    <w:rsid w:val="2243298D"/>
    <w:rsid w:val="22EC5646"/>
    <w:rsid w:val="22EE5862"/>
    <w:rsid w:val="23111551"/>
    <w:rsid w:val="233D0598"/>
    <w:rsid w:val="23A10B26"/>
    <w:rsid w:val="23DE7685"/>
    <w:rsid w:val="23E13F00"/>
    <w:rsid w:val="23F312F4"/>
    <w:rsid w:val="24092228"/>
    <w:rsid w:val="241A61E3"/>
    <w:rsid w:val="24836BF3"/>
    <w:rsid w:val="248D63C1"/>
    <w:rsid w:val="249441E7"/>
    <w:rsid w:val="24AF1021"/>
    <w:rsid w:val="24EA3E07"/>
    <w:rsid w:val="24F1163A"/>
    <w:rsid w:val="252C2672"/>
    <w:rsid w:val="253357AE"/>
    <w:rsid w:val="25900E53"/>
    <w:rsid w:val="25B508B9"/>
    <w:rsid w:val="2661634B"/>
    <w:rsid w:val="2685028B"/>
    <w:rsid w:val="26A30712"/>
    <w:rsid w:val="26B80661"/>
    <w:rsid w:val="26EF3957"/>
    <w:rsid w:val="27054F28"/>
    <w:rsid w:val="275B1324"/>
    <w:rsid w:val="27C70430"/>
    <w:rsid w:val="27FDCE67"/>
    <w:rsid w:val="283755B5"/>
    <w:rsid w:val="28DC7F0B"/>
    <w:rsid w:val="2916341D"/>
    <w:rsid w:val="2927562A"/>
    <w:rsid w:val="2940049A"/>
    <w:rsid w:val="2953641F"/>
    <w:rsid w:val="296879F1"/>
    <w:rsid w:val="299B1B74"/>
    <w:rsid w:val="29AE7AF9"/>
    <w:rsid w:val="29B35110"/>
    <w:rsid w:val="29DC52BC"/>
    <w:rsid w:val="2A102562"/>
    <w:rsid w:val="2A104310"/>
    <w:rsid w:val="2A4346E5"/>
    <w:rsid w:val="2A827F33"/>
    <w:rsid w:val="2ABF9FDB"/>
    <w:rsid w:val="2B0025D7"/>
    <w:rsid w:val="2B51698E"/>
    <w:rsid w:val="2B8A1EA0"/>
    <w:rsid w:val="2C091017"/>
    <w:rsid w:val="2C1F6A8C"/>
    <w:rsid w:val="2C4B7881"/>
    <w:rsid w:val="2D2A09B7"/>
    <w:rsid w:val="2D5C5ABE"/>
    <w:rsid w:val="2DAC25A2"/>
    <w:rsid w:val="2DB256DE"/>
    <w:rsid w:val="2E0917A2"/>
    <w:rsid w:val="2E093082"/>
    <w:rsid w:val="2E1E4B22"/>
    <w:rsid w:val="2E4722CA"/>
    <w:rsid w:val="2EA119DB"/>
    <w:rsid w:val="2EB07E70"/>
    <w:rsid w:val="2EDD678B"/>
    <w:rsid w:val="2EE31FF3"/>
    <w:rsid w:val="2EF53AD4"/>
    <w:rsid w:val="2F120B2A"/>
    <w:rsid w:val="2F230642"/>
    <w:rsid w:val="2FBB4D1E"/>
    <w:rsid w:val="2FC254E7"/>
    <w:rsid w:val="2FC811E9"/>
    <w:rsid w:val="300A1801"/>
    <w:rsid w:val="303845C1"/>
    <w:rsid w:val="304E0B54"/>
    <w:rsid w:val="30766E97"/>
    <w:rsid w:val="308E2433"/>
    <w:rsid w:val="30980BBB"/>
    <w:rsid w:val="30AC4667"/>
    <w:rsid w:val="30EE1123"/>
    <w:rsid w:val="311346E6"/>
    <w:rsid w:val="3150593A"/>
    <w:rsid w:val="315A0567"/>
    <w:rsid w:val="316867E0"/>
    <w:rsid w:val="31A517E2"/>
    <w:rsid w:val="31D245A1"/>
    <w:rsid w:val="322F1E6A"/>
    <w:rsid w:val="32313075"/>
    <w:rsid w:val="32432DA9"/>
    <w:rsid w:val="32621481"/>
    <w:rsid w:val="32652174"/>
    <w:rsid w:val="328E671A"/>
    <w:rsid w:val="32951856"/>
    <w:rsid w:val="32FB3683"/>
    <w:rsid w:val="330B38C7"/>
    <w:rsid w:val="332B5D17"/>
    <w:rsid w:val="334212B2"/>
    <w:rsid w:val="33FB1B8D"/>
    <w:rsid w:val="33FC5905"/>
    <w:rsid w:val="342C56A3"/>
    <w:rsid w:val="347B3658"/>
    <w:rsid w:val="34AA2C62"/>
    <w:rsid w:val="34F565DC"/>
    <w:rsid w:val="35101668"/>
    <w:rsid w:val="351D1FD7"/>
    <w:rsid w:val="35386E11"/>
    <w:rsid w:val="35411821"/>
    <w:rsid w:val="35492DCC"/>
    <w:rsid w:val="354B6B44"/>
    <w:rsid w:val="3577292C"/>
    <w:rsid w:val="3592207D"/>
    <w:rsid w:val="35960B5E"/>
    <w:rsid w:val="35AA386B"/>
    <w:rsid w:val="36435F99"/>
    <w:rsid w:val="3671332B"/>
    <w:rsid w:val="36D60888"/>
    <w:rsid w:val="36EE3C2B"/>
    <w:rsid w:val="36FA25D0"/>
    <w:rsid w:val="378B147A"/>
    <w:rsid w:val="37BF7375"/>
    <w:rsid w:val="37C65BB6"/>
    <w:rsid w:val="37E73A20"/>
    <w:rsid w:val="37F039D3"/>
    <w:rsid w:val="37FF7772"/>
    <w:rsid w:val="38602906"/>
    <w:rsid w:val="388A19D1"/>
    <w:rsid w:val="38983E4E"/>
    <w:rsid w:val="38B90269"/>
    <w:rsid w:val="38C4326F"/>
    <w:rsid w:val="39335925"/>
    <w:rsid w:val="39455658"/>
    <w:rsid w:val="39561614"/>
    <w:rsid w:val="39641F82"/>
    <w:rsid w:val="39F350B4"/>
    <w:rsid w:val="39F72DF7"/>
    <w:rsid w:val="3A0E57A9"/>
    <w:rsid w:val="3A137DCB"/>
    <w:rsid w:val="3A2B6F44"/>
    <w:rsid w:val="3A4B6C9E"/>
    <w:rsid w:val="3A704957"/>
    <w:rsid w:val="3A810912"/>
    <w:rsid w:val="3AC0768C"/>
    <w:rsid w:val="3AE72E6B"/>
    <w:rsid w:val="3B464036"/>
    <w:rsid w:val="3B6224F2"/>
    <w:rsid w:val="3B8C756F"/>
    <w:rsid w:val="3B9603ED"/>
    <w:rsid w:val="3C0F3A5A"/>
    <w:rsid w:val="3C522566"/>
    <w:rsid w:val="3C7921E9"/>
    <w:rsid w:val="3C8F5568"/>
    <w:rsid w:val="3CC86CCC"/>
    <w:rsid w:val="3CE21B3C"/>
    <w:rsid w:val="3CEF7995"/>
    <w:rsid w:val="3E063608"/>
    <w:rsid w:val="3E171CB9"/>
    <w:rsid w:val="3E52684D"/>
    <w:rsid w:val="3E5A3954"/>
    <w:rsid w:val="3E8310FD"/>
    <w:rsid w:val="3EB07A18"/>
    <w:rsid w:val="3F0368A9"/>
    <w:rsid w:val="3F312907"/>
    <w:rsid w:val="3F7B6278"/>
    <w:rsid w:val="3FB3156E"/>
    <w:rsid w:val="3FF43934"/>
    <w:rsid w:val="3FFD4EDF"/>
    <w:rsid w:val="40055B41"/>
    <w:rsid w:val="400C5122"/>
    <w:rsid w:val="40D53766"/>
    <w:rsid w:val="41056369"/>
    <w:rsid w:val="41202C33"/>
    <w:rsid w:val="41390199"/>
    <w:rsid w:val="4153125A"/>
    <w:rsid w:val="418F600A"/>
    <w:rsid w:val="41A75102"/>
    <w:rsid w:val="41CE268F"/>
    <w:rsid w:val="41DD6D76"/>
    <w:rsid w:val="42024A2E"/>
    <w:rsid w:val="423B584A"/>
    <w:rsid w:val="424566C9"/>
    <w:rsid w:val="426C1EA8"/>
    <w:rsid w:val="429A6A15"/>
    <w:rsid w:val="42DC702D"/>
    <w:rsid w:val="431542ED"/>
    <w:rsid w:val="43560B8E"/>
    <w:rsid w:val="436D237B"/>
    <w:rsid w:val="43AF6E6A"/>
    <w:rsid w:val="43C04259"/>
    <w:rsid w:val="43CA5612"/>
    <w:rsid w:val="43E443EC"/>
    <w:rsid w:val="445F1CC4"/>
    <w:rsid w:val="4488370A"/>
    <w:rsid w:val="44A973E3"/>
    <w:rsid w:val="44BA339E"/>
    <w:rsid w:val="44DC1567"/>
    <w:rsid w:val="44F468B0"/>
    <w:rsid w:val="452B7DF8"/>
    <w:rsid w:val="4546413B"/>
    <w:rsid w:val="45CA7611"/>
    <w:rsid w:val="46366A55"/>
    <w:rsid w:val="46753A21"/>
    <w:rsid w:val="46A55988"/>
    <w:rsid w:val="46F25071"/>
    <w:rsid w:val="478657BA"/>
    <w:rsid w:val="47B63522"/>
    <w:rsid w:val="489D100D"/>
    <w:rsid w:val="48C4659A"/>
    <w:rsid w:val="48CA7928"/>
    <w:rsid w:val="48CB5887"/>
    <w:rsid w:val="48D52555"/>
    <w:rsid w:val="49105C83"/>
    <w:rsid w:val="491D5CAA"/>
    <w:rsid w:val="49206389"/>
    <w:rsid w:val="49724248"/>
    <w:rsid w:val="49940F29"/>
    <w:rsid w:val="49B36C22"/>
    <w:rsid w:val="49C83E68"/>
    <w:rsid w:val="49CA7BE0"/>
    <w:rsid w:val="49E30CA1"/>
    <w:rsid w:val="49FD0A6D"/>
    <w:rsid w:val="4A653DAC"/>
    <w:rsid w:val="4A7D4C52"/>
    <w:rsid w:val="4A8C1339"/>
    <w:rsid w:val="4ABB577A"/>
    <w:rsid w:val="4AD30D16"/>
    <w:rsid w:val="4AE50A49"/>
    <w:rsid w:val="4BE52F0F"/>
    <w:rsid w:val="4CA77E00"/>
    <w:rsid w:val="4CD55219"/>
    <w:rsid w:val="4CFD207A"/>
    <w:rsid w:val="4D155616"/>
    <w:rsid w:val="4D317F76"/>
    <w:rsid w:val="4D5A127B"/>
    <w:rsid w:val="4DE66FB2"/>
    <w:rsid w:val="4E347D1E"/>
    <w:rsid w:val="4E8642F1"/>
    <w:rsid w:val="4EBD5F65"/>
    <w:rsid w:val="4F3E0928"/>
    <w:rsid w:val="4F714FA1"/>
    <w:rsid w:val="50616DC4"/>
    <w:rsid w:val="509C3084"/>
    <w:rsid w:val="50A0169A"/>
    <w:rsid w:val="51441FC6"/>
    <w:rsid w:val="5181771E"/>
    <w:rsid w:val="51C969CF"/>
    <w:rsid w:val="51FF531F"/>
    <w:rsid w:val="5244074B"/>
    <w:rsid w:val="52524C16"/>
    <w:rsid w:val="52DD4E28"/>
    <w:rsid w:val="52E71802"/>
    <w:rsid w:val="52F12681"/>
    <w:rsid w:val="5382777D"/>
    <w:rsid w:val="53EC4BF7"/>
    <w:rsid w:val="540006A2"/>
    <w:rsid w:val="54040192"/>
    <w:rsid w:val="54703A7A"/>
    <w:rsid w:val="547C41CC"/>
    <w:rsid w:val="54C33BA9"/>
    <w:rsid w:val="54F93B76"/>
    <w:rsid w:val="555111B5"/>
    <w:rsid w:val="55567F3C"/>
    <w:rsid w:val="55F81F79"/>
    <w:rsid w:val="56811F6E"/>
    <w:rsid w:val="5737262D"/>
    <w:rsid w:val="573C40E7"/>
    <w:rsid w:val="57544F8D"/>
    <w:rsid w:val="57715B3F"/>
    <w:rsid w:val="57CF0AB7"/>
    <w:rsid w:val="58150BC0"/>
    <w:rsid w:val="58613E05"/>
    <w:rsid w:val="58ED7447"/>
    <w:rsid w:val="596B518E"/>
    <w:rsid w:val="59A0095D"/>
    <w:rsid w:val="59A321FB"/>
    <w:rsid w:val="59D52950"/>
    <w:rsid w:val="59E545C2"/>
    <w:rsid w:val="5A0B67FD"/>
    <w:rsid w:val="5ABF4E13"/>
    <w:rsid w:val="5B2335F4"/>
    <w:rsid w:val="5B6854AA"/>
    <w:rsid w:val="5B6F4A8B"/>
    <w:rsid w:val="5B77438F"/>
    <w:rsid w:val="5B90055D"/>
    <w:rsid w:val="5B914A01"/>
    <w:rsid w:val="5BAB5397"/>
    <w:rsid w:val="5BF8682E"/>
    <w:rsid w:val="5C0A0310"/>
    <w:rsid w:val="5C533A65"/>
    <w:rsid w:val="5C5F065B"/>
    <w:rsid w:val="5C780C40"/>
    <w:rsid w:val="5C950521"/>
    <w:rsid w:val="5CAF2C65"/>
    <w:rsid w:val="5CD050B5"/>
    <w:rsid w:val="5CF039A9"/>
    <w:rsid w:val="5D094A6B"/>
    <w:rsid w:val="5D2D69AC"/>
    <w:rsid w:val="5D335644"/>
    <w:rsid w:val="5D417D61"/>
    <w:rsid w:val="5DB1138B"/>
    <w:rsid w:val="5DE54B90"/>
    <w:rsid w:val="5E174F66"/>
    <w:rsid w:val="5E9B7945"/>
    <w:rsid w:val="5ECE7D1A"/>
    <w:rsid w:val="5EFA1114"/>
    <w:rsid w:val="5F8959EF"/>
    <w:rsid w:val="5FA34D03"/>
    <w:rsid w:val="5FE30B68"/>
    <w:rsid w:val="5FEF7F48"/>
    <w:rsid w:val="5FF94923"/>
    <w:rsid w:val="600F2399"/>
    <w:rsid w:val="601479AF"/>
    <w:rsid w:val="602F6597"/>
    <w:rsid w:val="60966616"/>
    <w:rsid w:val="60A90CB0"/>
    <w:rsid w:val="60D13AF2"/>
    <w:rsid w:val="611A2DA3"/>
    <w:rsid w:val="625642AF"/>
    <w:rsid w:val="626544F2"/>
    <w:rsid w:val="62976675"/>
    <w:rsid w:val="62A274F4"/>
    <w:rsid w:val="62AC0373"/>
    <w:rsid w:val="62C51434"/>
    <w:rsid w:val="62D96C8E"/>
    <w:rsid w:val="62E47BFE"/>
    <w:rsid w:val="63251ED3"/>
    <w:rsid w:val="63350368"/>
    <w:rsid w:val="634265E1"/>
    <w:rsid w:val="638766EA"/>
    <w:rsid w:val="63A05C7E"/>
    <w:rsid w:val="63B03E93"/>
    <w:rsid w:val="64061D04"/>
    <w:rsid w:val="642632A7"/>
    <w:rsid w:val="643248A8"/>
    <w:rsid w:val="644C2978"/>
    <w:rsid w:val="648A3E9D"/>
    <w:rsid w:val="653D52B2"/>
    <w:rsid w:val="65CE6852"/>
    <w:rsid w:val="65DD6A95"/>
    <w:rsid w:val="65E9543A"/>
    <w:rsid w:val="661C75BD"/>
    <w:rsid w:val="66236B9E"/>
    <w:rsid w:val="664803B2"/>
    <w:rsid w:val="664B1C51"/>
    <w:rsid w:val="66AF21DF"/>
    <w:rsid w:val="66EC17FF"/>
    <w:rsid w:val="67236729"/>
    <w:rsid w:val="673E5C26"/>
    <w:rsid w:val="67702502"/>
    <w:rsid w:val="67786A75"/>
    <w:rsid w:val="678C42CF"/>
    <w:rsid w:val="67DA328C"/>
    <w:rsid w:val="686F7E78"/>
    <w:rsid w:val="688A4CB2"/>
    <w:rsid w:val="689E69AF"/>
    <w:rsid w:val="68CC3081"/>
    <w:rsid w:val="68F0088D"/>
    <w:rsid w:val="69272501"/>
    <w:rsid w:val="69F35A56"/>
    <w:rsid w:val="6A116D0D"/>
    <w:rsid w:val="6A7F45BF"/>
    <w:rsid w:val="6AA61FB9"/>
    <w:rsid w:val="6AFD72E0"/>
    <w:rsid w:val="6B383ED3"/>
    <w:rsid w:val="6B52582F"/>
    <w:rsid w:val="6B5E2426"/>
    <w:rsid w:val="6B6932A5"/>
    <w:rsid w:val="6BE4292B"/>
    <w:rsid w:val="6C5630FD"/>
    <w:rsid w:val="6C5775A1"/>
    <w:rsid w:val="6C5F6456"/>
    <w:rsid w:val="6CB73B9C"/>
    <w:rsid w:val="6CC369E5"/>
    <w:rsid w:val="6CCE7137"/>
    <w:rsid w:val="6CEA21C3"/>
    <w:rsid w:val="6CF52916"/>
    <w:rsid w:val="6D0843F7"/>
    <w:rsid w:val="6D543AE1"/>
    <w:rsid w:val="6DC02F24"/>
    <w:rsid w:val="6E1A0886"/>
    <w:rsid w:val="6E401570"/>
    <w:rsid w:val="6EEE586F"/>
    <w:rsid w:val="6F525DFE"/>
    <w:rsid w:val="6F7C10CD"/>
    <w:rsid w:val="6FA53B98"/>
    <w:rsid w:val="6FCC795E"/>
    <w:rsid w:val="6FF45107"/>
    <w:rsid w:val="6FF70753"/>
    <w:rsid w:val="70194B6E"/>
    <w:rsid w:val="703D6AAE"/>
    <w:rsid w:val="704F058F"/>
    <w:rsid w:val="705A140E"/>
    <w:rsid w:val="706E6C67"/>
    <w:rsid w:val="7148395C"/>
    <w:rsid w:val="715069EC"/>
    <w:rsid w:val="71527F65"/>
    <w:rsid w:val="71810C1C"/>
    <w:rsid w:val="71C11019"/>
    <w:rsid w:val="71C64881"/>
    <w:rsid w:val="71CF3736"/>
    <w:rsid w:val="71F838FC"/>
    <w:rsid w:val="72473C14"/>
    <w:rsid w:val="724C4D86"/>
    <w:rsid w:val="72802C82"/>
    <w:rsid w:val="731955B0"/>
    <w:rsid w:val="733F0D8F"/>
    <w:rsid w:val="73465C7A"/>
    <w:rsid w:val="73506AF8"/>
    <w:rsid w:val="73644352"/>
    <w:rsid w:val="738D5656"/>
    <w:rsid w:val="73985B07"/>
    <w:rsid w:val="73E21E46"/>
    <w:rsid w:val="741373FD"/>
    <w:rsid w:val="7467234B"/>
    <w:rsid w:val="74796FDB"/>
    <w:rsid w:val="74AC4202"/>
    <w:rsid w:val="74FB2A94"/>
    <w:rsid w:val="751D2A0A"/>
    <w:rsid w:val="753C5586"/>
    <w:rsid w:val="75B50E95"/>
    <w:rsid w:val="761C0F14"/>
    <w:rsid w:val="76740D50"/>
    <w:rsid w:val="767F232D"/>
    <w:rsid w:val="76961691"/>
    <w:rsid w:val="76B64EC4"/>
    <w:rsid w:val="76FC5BC6"/>
    <w:rsid w:val="77277B70"/>
    <w:rsid w:val="77690189"/>
    <w:rsid w:val="778E7227"/>
    <w:rsid w:val="78520C1D"/>
    <w:rsid w:val="78C25DA2"/>
    <w:rsid w:val="78CE0BEB"/>
    <w:rsid w:val="78D37FAF"/>
    <w:rsid w:val="78F32400"/>
    <w:rsid w:val="790F4D60"/>
    <w:rsid w:val="792A3948"/>
    <w:rsid w:val="795F7A95"/>
    <w:rsid w:val="79BD656A"/>
    <w:rsid w:val="79E0302D"/>
    <w:rsid w:val="7A664E53"/>
    <w:rsid w:val="7A87211B"/>
    <w:rsid w:val="7AA56DBB"/>
    <w:rsid w:val="7AC57DCC"/>
    <w:rsid w:val="7B1E128A"/>
    <w:rsid w:val="7B3A4316"/>
    <w:rsid w:val="7B672C31"/>
    <w:rsid w:val="7BA75723"/>
    <w:rsid w:val="7C3C0A7C"/>
    <w:rsid w:val="7C4F3DF1"/>
    <w:rsid w:val="7CED53B8"/>
    <w:rsid w:val="7D0821F2"/>
    <w:rsid w:val="7D4E40A8"/>
    <w:rsid w:val="7D637428"/>
    <w:rsid w:val="7DAC0DCF"/>
    <w:rsid w:val="7E442EC5"/>
    <w:rsid w:val="7E7C4C45"/>
    <w:rsid w:val="7EA61CC2"/>
    <w:rsid w:val="7ECB797B"/>
    <w:rsid w:val="7F007624"/>
    <w:rsid w:val="7F10538E"/>
    <w:rsid w:val="7F3F57F3"/>
    <w:rsid w:val="7F606315"/>
    <w:rsid w:val="7F800765"/>
    <w:rsid w:val="7FEE3921"/>
    <w:rsid w:val="AFFB9163"/>
    <w:rsid w:val="BDFE1280"/>
    <w:rsid w:val="DBFF4BFE"/>
    <w:rsid w:val="EFBF2956"/>
    <w:rsid w:val="FAFF679A"/>
    <w:rsid w:val="FEBF0C51"/>
    <w:rsid w:val="FFB55504"/>
    <w:rsid w:val="FFFE8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2426</Words>
  <Characters>2517</Characters>
  <Lines>22</Lines>
  <Paragraphs>6</Paragraphs>
  <TotalTime>10</TotalTime>
  <ScaleCrop>false</ScaleCrop>
  <LinksUpToDate>false</LinksUpToDate>
  <CharactersWithSpaces>2538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2024-07-07T14:46:00Z</dcterms:created>
  <dc:creator>在路上</dc:creator>
  <cp:lastModifiedBy>sugon</cp:lastModifiedBy>
  <cp:lastPrinted>2024-08-20T23:21:00Z</cp:lastPrinted>
  <dcterms:modified xsi:type="dcterms:W3CDTF">2024-08-21T14:26:57Z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9B2671BF906A4552A97E3B8371C63875_13</vt:lpwstr>
  </property>
</Properties>
</file>