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BDD0" w14:textId="77777777" w:rsidR="00A833AF" w:rsidRDefault="00000000">
      <w:pPr>
        <w:keepNext/>
        <w:keepLines/>
        <w:snapToGrid w:val="0"/>
        <w:spacing w:before="120" w:after="120"/>
        <w:jc w:val="center"/>
        <w:rPr>
          <w:rFonts w:ascii="方正小标宋简体" w:eastAsia="方正小标宋简体" w:hAnsi="方正小标宋简体" w:cs="方正小标宋简体" w:hint="eastAsia"/>
          <w:bCs/>
          <w:kern w:val="44"/>
          <w:sz w:val="44"/>
          <w:szCs w:val="44"/>
        </w:rPr>
      </w:pPr>
      <w:r>
        <w:rPr>
          <w:rFonts w:ascii="Nimbus Roman No9 L" w:eastAsia="方正小标宋简体" w:hAnsi="Nimbus Roman No9 L" w:cs="方正小标宋简体" w:hint="eastAsia"/>
          <w:bCs/>
          <w:kern w:val="44"/>
          <w:sz w:val="44"/>
          <w:szCs w:val="44"/>
        </w:rPr>
        <w:t>2023</w:t>
      </w:r>
      <w:r>
        <w:rPr>
          <w:rFonts w:ascii="方正小标宋简体" w:eastAsia="方正小标宋简体" w:hAnsi="方正小标宋简体" w:cs="方正小标宋简体" w:hint="eastAsia"/>
          <w:bCs/>
          <w:kern w:val="44"/>
          <w:sz w:val="44"/>
          <w:szCs w:val="44"/>
        </w:rPr>
        <w:t>年度天津市科学技术奖提名制实施方案</w:t>
      </w:r>
    </w:p>
    <w:p w14:paraId="2BFFC495" w14:textId="77777777" w:rsidR="00A833AF" w:rsidRDefault="00A833AF">
      <w:pPr>
        <w:keepNext/>
        <w:keepLines/>
        <w:snapToGrid w:val="0"/>
        <w:spacing w:before="120" w:after="120"/>
        <w:jc w:val="center"/>
        <w:rPr>
          <w:rFonts w:ascii="Nimbus Roman No9 L" w:eastAsia="仿宋_GB2312" w:hAnsi="Nimbus Roman No9 L" w:hint="eastAsia"/>
          <w:bCs/>
          <w:kern w:val="44"/>
          <w:sz w:val="44"/>
          <w:szCs w:val="44"/>
        </w:rPr>
      </w:pPr>
    </w:p>
    <w:p w14:paraId="0E2550D0"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为规范天津市科学技术奖提名工作，根据《关于深化科技奖励制度改革的方案》（国办函〔</w:t>
      </w:r>
      <w:r>
        <w:rPr>
          <w:rFonts w:ascii="Nimbus Roman No9 L" w:eastAsia="仿宋_GB2312" w:hAnsi="Nimbus Roman No9 L" w:cs="Nimbus Roman No9 L" w:hint="eastAsia"/>
          <w:sz w:val="32"/>
          <w:szCs w:val="32"/>
        </w:rPr>
        <w:t>2017</w:t>
      </w:r>
      <w:r>
        <w:rPr>
          <w:rFonts w:ascii="Nimbus Roman No9 L" w:eastAsia="仿宋_GB2312" w:hAnsi="Nimbus Roman No9 L" w:hint="eastAsia"/>
          <w:sz w:val="32"/>
          <w:szCs w:val="32"/>
        </w:rPr>
        <w:t>〕</w:t>
      </w:r>
      <w:r>
        <w:rPr>
          <w:rFonts w:ascii="Nimbus Roman No9 L" w:eastAsia="仿宋_GB2312" w:hAnsi="Nimbus Roman No9 L" w:cs="Nimbus Roman No9 L" w:hint="eastAsia"/>
          <w:sz w:val="32"/>
          <w:szCs w:val="32"/>
        </w:rPr>
        <w:t>55</w:t>
      </w:r>
      <w:r>
        <w:rPr>
          <w:rFonts w:ascii="Nimbus Roman No9 L" w:eastAsia="仿宋_GB2312" w:hAnsi="Nimbus Roman No9 L" w:hint="eastAsia"/>
          <w:sz w:val="32"/>
          <w:szCs w:val="32"/>
        </w:rPr>
        <w:t>号）、《天津市深化科技奖励制度改革方案》（津政办函〔</w:t>
      </w:r>
      <w:r>
        <w:rPr>
          <w:rFonts w:ascii="Nimbus Roman No9 L" w:eastAsia="仿宋_GB2312" w:hAnsi="Nimbus Roman No9 L" w:cs="Nimbus Roman No9 L" w:hint="eastAsia"/>
          <w:sz w:val="32"/>
          <w:szCs w:val="32"/>
        </w:rPr>
        <w:t>2017</w:t>
      </w:r>
      <w:r>
        <w:rPr>
          <w:rFonts w:ascii="Nimbus Roman No9 L" w:eastAsia="仿宋_GB2312" w:hAnsi="Nimbus Roman No9 L" w:hint="eastAsia"/>
          <w:sz w:val="32"/>
          <w:szCs w:val="32"/>
        </w:rPr>
        <w:t>〕</w:t>
      </w:r>
      <w:r>
        <w:rPr>
          <w:rFonts w:ascii="Nimbus Roman No9 L" w:eastAsia="仿宋_GB2312" w:hAnsi="Nimbus Roman No9 L" w:cs="Nimbus Roman No9 L" w:hint="eastAsia"/>
          <w:sz w:val="32"/>
          <w:szCs w:val="32"/>
        </w:rPr>
        <w:t>92</w:t>
      </w:r>
      <w:r>
        <w:rPr>
          <w:rFonts w:ascii="Nimbus Roman No9 L" w:eastAsia="仿宋_GB2312" w:hAnsi="Nimbus Roman No9 L" w:hint="eastAsia"/>
          <w:sz w:val="32"/>
          <w:szCs w:val="32"/>
        </w:rPr>
        <w:t>号）要求，依据《天津市科学技术奖励办法》及其实施细则有关规定，结合天津市科学技术奖工作实际，制定本方案。</w:t>
      </w:r>
    </w:p>
    <w:p w14:paraId="4899F662" w14:textId="77777777" w:rsidR="00A833AF" w:rsidRDefault="00000000">
      <w:pPr>
        <w:adjustRightInd w:val="0"/>
        <w:snapToGrid w:val="0"/>
        <w:spacing w:beforeLines="100" w:before="312" w:afterLines="50" w:after="156" w:line="560" w:lineRule="exact"/>
        <w:jc w:val="center"/>
        <w:rPr>
          <w:rFonts w:ascii="黑体" w:eastAsia="黑体" w:hAnsi="黑体" w:cs="黑体" w:hint="eastAsia"/>
          <w:bCs/>
          <w:sz w:val="32"/>
          <w:szCs w:val="32"/>
        </w:rPr>
      </w:pPr>
      <w:r>
        <w:rPr>
          <w:rFonts w:ascii="黑体" w:eastAsia="黑体" w:hAnsi="黑体" w:cs="黑体" w:hint="eastAsia"/>
          <w:bCs/>
          <w:sz w:val="32"/>
          <w:szCs w:val="32"/>
        </w:rPr>
        <w:t>第一章 提名资格</w:t>
      </w:r>
    </w:p>
    <w:p w14:paraId="558DD7A1"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第一条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具有天津市科学技术奖提名资格的提名者为本市专家学者、组织机构和相关部门。</w:t>
      </w:r>
    </w:p>
    <w:p w14:paraId="3D962703"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第二条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本方案所称专家学者是指：</w:t>
      </w:r>
    </w:p>
    <w:p w14:paraId="44636AAB"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（一）中国科学院、中国工程院院士。</w:t>
      </w:r>
    </w:p>
    <w:p w14:paraId="34FFEE06"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（二）国家科学技术奖的第一完成人。</w:t>
      </w:r>
    </w:p>
    <w:p w14:paraId="595B3618"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（三）天津市科技重大成就奖获奖人；自然科学奖、技术发明奖、科学技术进步奖特等奖、一等奖的第一完成人。</w:t>
      </w:r>
    </w:p>
    <w:p w14:paraId="1B370F5D"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院士作为提名人的，年龄不超过</w:t>
      </w:r>
      <w:r>
        <w:rPr>
          <w:rFonts w:ascii="Nimbus Roman No9 L" w:eastAsia="仿宋_GB2312" w:hAnsi="Nimbus Roman No9 L" w:cs="Nimbus Roman No9 L" w:hint="eastAsia"/>
          <w:sz w:val="32"/>
          <w:szCs w:val="32"/>
        </w:rPr>
        <w:t>75</w:t>
      </w:r>
      <w:r>
        <w:rPr>
          <w:rFonts w:ascii="Nimbus Roman No9 L" w:eastAsia="仿宋_GB2312" w:hAnsi="Nimbus Roman No9 L" w:hint="eastAsia"/>
          <w:sz w:val="32"/>
          <w:szCs w:val="32"/>
        </w:rPr>
        <w:t>岁（</w:t>
      </w:r>
      <w:r>
        <w:rPr>
          <w:rFonts w:ascii="Nimbus Roman No9 L" w:eastAsia="仿宋_GB2312" w:hAnsi="Nimbus Roman No9 L" w:hint="eastAsia"/>
          <w:sz w:val="32"/>
          <w:szCs w:val="32"/>
        </w:rPr>
        <w:t>1948</w:t>
      </w:r>
      <w:r>
        <w:rPr>
          <w:rFonts w:ascii="Nimbus Roman No9 L" w:eastAsia="仿宋_GB2312" w:hAnsi="Nimbus Roman No9 L" w:hint="eastAsia"/>
          <w:sz w:val="32"/>
          <w:szCs w:val="32"/>
        </w:rPr>
        <w:t>年</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月</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日及以后出生），其他提名专家不超过</w:t>
      </w:r>
      <w:r>
        <w:rPr>
          <w:rFonts w:ascii="Nimbus Roman No9 L" w:eastAsia="仿宋_GB2312" w:hAnsi="Nimbus Roman No9 L" w:cs="Nimbus Roman No9 L" w:hint="eastAsia"/>
          <w:sz w:val="32"/>
          <w:szCs w:val="32"/>
        </w:rPr>
        <w:t>70</w:t>
      </w:r>
      <w:r>
        <w:rPr>
          <w:rFonts w:ascii="Nimbus Roman No9 L" w:eastAsia="仿宋_GB2312" w:hAnsi="Nimbus Roman No9 L" w:hint="eastAsia"/>
          <w:sz w:val="32"/>
          <w:szCs w:val="32"/>
        </w:rPr>
        <w:t>岁（</w:t>
      </w:r>
      <w:r>
        <w:rPr>
          <w:rFonts w:ascii="Nimbus Roman No9 L" w:eastAsia="仿宋_GB2312" w:hAnsi="Nimbus Roman No9 L" w:hint="eastAsia"/>
          <w:sz w:val="32"/>
          <w:szCs w:val="32"/>
        </w:rPr>
        <w:t>1953</w:t>
      </w:r>
      <w:r>
        <w:rPr>
          <w:rFonts w:ascii="Nimbus Roman No9 L" w:eastAsia="仿宋_GB2312" w:hAnsi="Nimbus Roman No9 L" w:hint="eastAsia"/>
          <w:sz w:val="32"/>
          <w:szCs w:val="32"/>
        </w:rPr>
        <w:t>年</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月</w:t>
      </w:r>
      <w:r>
        <w:rPr>
          <w:rFonts w:ascii="Nimbus Roman No9 L" w:eastAsia="仿宋_GB2312" w:hAnsi="Nimbus Roman No9 L" w:hint="eastAsia"/>
          <w:sz w:val="32"/>
          <w:szCs w:val="32"/>
        </w:rPr>
        <w:t>1</w:t>
      </w:r>
      <w:r>
        <w:rPr>
          <w:rFonts w:ascii="Nimbus Roman No9 L" w:eastAsia="仿宋_GB2312" w:hAnsi="Nimbus Roman No9 L" w:hint="eastAsia"/>
          <w:sz w:val="32"/>
          <w:szCs w:val="32"/>
        </w:rPr>
        <w:t>日及以后出生）。除院士外，获奖人应为</w:t>
      </w:r>
      <w:r>
        <w:rPr>
          <w:rFonts w:ascii="Nimbus Roman No9 L" w:eastAsia="仿宋_GB2312" w:hAnsi="Nimbus Roman No9 L" w:hint="eastAsia"/>
          <w:sz w:val="32"/>
          <w:szCs w:val="32"/>
        </w:rPr>
        <w:t>2013</w:t>
      </w:r>
      <w:r>
        <w:rPr>
          <w:rFonts w:ascii="Nimbus Roman No9 L" w:eastAsia="仿宋_GB2312" w:hAnsi="Nimbus Roman No9 L" w:hint="eastAsia"/>
          <w:sz w:val="32"/>
          <w:szCs w:val="32"/>
        </w:rPr>
        <w:t>年（含）以来第一完成人。</w:t>
      </w:r>
    </w:p>
    <w:p w14:paraId="2A5511B1"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连续两年提名项目未获奖的提名专家，暂停提名资格一年。</w:t>
      </w:r>
    </w:p>
    <w:p w14:paraId="1C9481E7"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第三条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本方案所称组织机构是指在天津市内注册、具有独立法人资格的高等院校，市属控股公司、集团公司，驻津科研单</w:t>
      </w:r>
      <w:r>
        <w:rPr>
          <w:rFonts w:ascii="Nimbus Roman No9 L" w:eastAsia="仿宋_GB2312" w:hAnsi="Nimbus Roman No9 L" w:hint="eastAsia"/>
          <w:sz w:val="32"/>
          <w:szCs w:val="32"/>
        </w:rPr>
        <w:lastRenderedPageBreak/>
        <w:t>位等。</w:t>
      </w:r>
    </w:p>
    <w:p w14:paraId="08484327"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第四条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本方案所称相关部门是指市人民政府组成部门、直属机构，各区人民政府（功能区管委会）等。</w:t>
      </w:r>
    </w:p>
    <w:p w14:paraId="5744E68A" w14:textId="77777777" w:rsidR="00A833AF" w:rsidRDefault="00000000">
      <w:pPr>
        <w:adjustRightInd w:val="0"/>
        <w:snapToGrid w:val="0"/>
        <w:spacing w:beforeLines="100" w:before="312" w:afterLines="50" w:after="156" w:line="560" w:lineRule="exact"/>
        <w:jc w:val="center"/>
        <w:rPr>
          <w:rFonts w:ascii="黑体" w:eastAsia="黑体" w:hAnsi="黑体" w:cs="黑体" w:hint="eastAsia"/>
          <w:bCs/>
          <w:sz w:val="32"/>
          <w:szCs w:val="32"/>
        </w:rPr>
      </w:pPr>
      <w:r>
        <w:rPr>
          <w:rFonts w:ascii="黑体" w:eastAsia="黑体" w:hAnsi="黑体" w:cs="黑体" w:hint="eastAsia"/>
          <w:bCs/>
          <w:sz w:val="32"/>
          <w:szCs w:val="32"/>
        </w:rPr>
        <w:t>第二章 提名条件</w:t>
      </w:r>
    </w:p>
    <w:p w14:paraId="094D1EE4"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第五条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提名专家每人每年度独立或与他人联合提名</w:t>
      </w:r>
      <w:r>
        <w:rPr>
          <w:rFonts w:ascii="Nimbus Roman No9 L" w:eastAsia="仿宋_GB2312" w:hAnsi="Nimbus Roman No9 L" w:cs="Nimbus Roman No9 L" w:hint="eastAsia"/>
          <w:sz w:val="32"/>
          <w:szCs w:val="32"/>
        </w:rPr>
        <w:t>1</w:t>
      </w:r>
      <w:r>
        <w:rPr>
          <w:rFonts w:ascii="Nimbus Roman No9 L" w:eastAsia="仿宋_GB2312" w:hAnsi="Nimbus Roman No9 L" w:hint="eastAsia"/>
          <w:sz w:val="32"/>
          <w:szCs w:val="32"/>
        </w:rPr>
        <w:t>项天津市科学技术奖，联合提名时列第一位的为责任专家。专家提名各奖种条件如下：</w:t>
      </w:r>
    </w:p>
    <w:p w14:paraId="6EA6D3BD"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（一）天津市科技重大成就奖：院士、天津市科技重大成就奖获奖人可</w:t>
      </w:r>
      <w:r>
        <w:rPr>
          <w:rFonts w:ascii="Nimbus Roman No9 L" w:eastAsia="仿宋_GB2312" w:hAnsi="Nimbus Roman No9 L" w:cs="Nimbus Roman No9 L" w:hint="eastAsia"/>
          <w:sz w:val="32"/>
          <w:szCs w:val="32"/>
        </w:rPr>
        <w:t>3</w:t>
      </w:r>
      <w:r>
        <w:rPr>
          <w:rFonts w:ascii="Nimbus Roman No9 L" w:eastAsia="仿宋_GB2312" w:hAnsi="Nimbus Roman No9 L" w:hint="eastAsia"/>
          <w:sz w:val="32"/>
          <w:szCs w:val="32"/>
        </w:rPr>
        <w:t>人联合提名</w:t>
      </w:r>
      <w:r>
        <w:rPr>
          <w:rFonts w:ascii="Nimbus Roman No9 L" w:eastAsia="仿宋_GB2312" w:hAnsi="Nimbus Roman No9 L" w:cs="Nimbus Roman No9 L" w:hint="eastAsia"/>
          <w:sz w:val="32"/>
          <w:szCs w:val="32"/>
        </w:rPr>
        <w:t>1</w:t>
      </w:r>
      <w:r>
        <w:rPr>
          <w:rFonts w:ascii="Nimbus Roman No9 L" w:eastAsia="仿宋_GB2312" w:hAnsi="Nimbus Roman No9 L" w:hint="eastAsia"/>
          <w:sz w:val="32"/>
          <w:szCs w:val="32"/>
        </w:rPr>
        <w:t>人。</w:t>
      </w:r>
    </w:p>
    <w:p w14:paraId="1115DB5F"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（二）天津市自然科学奖、技术发明奖、科学技术进步奖：院士，国家自然科学奖、技术发明奖和国家科学技术进步奖项目的第一完成人，天津市科技重大成就奖获奖人，每人可提名</w:t>
      </w:r>
      <w:r>
        <w:rPr>
          <w:rFonts w:ascii="Nimbus Roman No9 L" w:eastAsia="仿宋_GB2312" w:hAnsi="Nimbus Roman No9 L" w:cs="Nimbus Roman No9 L" w:hint="eastAsia"/>
          <w:sz w:val="32"/>
          <w:szCs w:val="32"/>
        </w:rPr>
        <w:t>1</w:t>
      </w:r>
      <w:r>
        <w:rPr>
          <w:rFonts w:ascii="Nimbus Roman No9 L" w:eastAsia="仿宋_GB2312" w:hAnsi="Nimbus Roman No9 L" w:hint="eastAsia"/>
          <w:sz w:val="32"/>
          <w:szCs w:val="32"/>
        </w:rPr>
        <w:t>个项目。天津市自然科学奖、技术发明奖和科学技术进步奖的特等奖、一等奖项目的第一完成人，可</w:t>
      </w:r>
      <w:r>
        <w:rPr>
          <w:rFonts w:ascii="Nimbus Roman No9 L" w:eastAsia="仿宋_GB2312" w:hAnsi="Nimbus Roman No9 L" w:cs="Nimbus Roman No9 L" w:hint="eastAsia"/>
          <w:sz w:val="32"/>
          <w:szCs w:val="32"/>
        </w:rPr>
        <w:t>2</w:t>
      </w:r>
      <w:r>
        <w:rPr>
          <w:rFonts w:ascii="Nimbus Roman No9 L" w:eastAsia="仿宋_GB2312" w:hAnsi="Nimbus Roman No9 L" w:hint="eastAsia"/>
          <w:sz w:val="32"/>
          <w:szCs w:val="32"/>
        </w:rPr>
        <w:t>人联合提名</w:t>
      </w:r>
      <w:r>
        <w:rPr>
          <w:rFonts w:ascii="Nimbus Roman No9 L" w:eastAsia="仿宋_GB2312" w:hAnsi="Nimbus Roman No9 L" w:cs="Nimbus Roman No9 L" w:hint="eastAsia"/>
          <w:sz w:val="32"/>
          <w:szCs w:val="32"/>
        </w:rPr>
        <w:t>1</w:t>
      </w:r>
      <w:r>
        <w:rPr>
          <w:rFonts w:ascii="Nimbus Roman No9 L" w:eastAsia="仿宋_GB2312" w:hAnsi="Nimbus Roman No9 L" w:hint="eastAsia"/>
          <w:sz w:val="32"/>
          <w:szCs w:val="32"/>
        </w:rPr>
        <w:t>个项目。</w:t>
      </w:r>
    </w:p>
    <w:p w14:paraId="0E8D7999"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（三）天津市国际科学技术合作奖：院士、天津市科技重大成就奖获奖人可</w:t>
      </w:r>
      <w:r>
        <w:rPr>
          <w:rFonts w:ascii="Nimbus Roman No9 L" w:eastAsia="仿宋_GB2312" w:hAnsi="Nimbus Roman No9 L" w:cs="Nimbus Roman No9 L" w:hint="eastAsia"/>
          <w:sz w:val="32"/>
          <w:szCs w:val="32"/>
        </w:rPr>
        <w:t>2</w:t>
      </w:r>
      <w:r>
        <w:rPr>
          <w:rFonts w:ascii="Nimbus Roman No9 L" w:eastAsia="仿宋_GB2312" w:hAnsi="Nimbus Roman No9 L" w:hint="eastAsia"/>
          <w:sz w:val="32"/>
          <w:szCs w:val="32"/>
        </w:rPr>
        <w:t>人联合提名</w:t>
      </w:r>
      <w:r>
        <w:rPr>
          <w:rFonts w:ascii="Nimbus Roman No9 L" w:eastAsia="仿宋_GB2312" w:hAnsi="Nimbus Roman No9 L" w:cs="Nimbus Roman No9 L" w:hint="eastAsia"/>
          <w:sz w:val="32"/>
          <w:szCs w:val="32"/>
        </w:rPr>
        <w:t>1</w:t>
      </w:r>
      <w:r>
        <w:rPr>
          <w:rFonts w:ascii="Nimbus Roman No9 L" w:eastAsia="仿宋_GB2312" w:hAnsi="Nimbus Roman No9 L" w:hint="eastAsia"/>
          <w:sz w:val="32"/>
          <w:szCs w:val="32"/>
        </w:rPr>
        <w:t>项（人或组织）。</w:t>
      </w:r>
    </w:p>
    <w:p w14:paraId="647E8AE4"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第六条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提名专家应在本人熟悉学科领域范围内进行提名，责任专家应在本人从事学科专业（二级学科）内提名。</w:t>
      </w:r>
    </w:p>
    <w:p w14:paraId="65A34263"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第七条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多名专家联合提名时，与提名项目任一完成人同一单位的专家不应超过</w:t>
      </w:r>
      <w:r>
        <w:rPr>
          <w:rFonts w:ascii="Nimbus Roman No9 L" w:eastAsia="仿宋_GB2312" w:hAnsi="Nimbus Roman No9 L" w:cs="Nimbus Roman No9 L" w:hint="eastAsia"/>
          <w:sz w:val="32"/>
          <w:szCs w:val="32"/>
        </w:rPr>
        <w:t>1</w:t>
      </w:r>
      <w:r>
        <w:rPr>
          <w:rFonts w:ascii="Nimbus Roman No9 L" w:eastAsia="仿宋_GB2312" w:hAnsi="Nimbus Roman No9 L" w:hint="eastAsia"/>
          <w:sz w:val="32"/>
          <w:szCs w:val="32"/>
        </w:rPr>
        <w:t>人。</w:t>
      </w:r>
    </w:p>
    <w:p w14:paraId="4336CFF1"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第八条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各提名单位应建立科学合理的遴选机制，在本学科、本行业、本部门范围内提名。单位提名各奖种条件如下：</w:t>
      </w:r>
    </w:p>
    <w:p w14:paraId="28D433AF"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（一）天津市科技重大成就奖：注重提名仍在一线工作的杰出科学技术专家。</w:t>
      </w:r>
    </w:p>
    <w:p w14:paraId="6FCF7FF6"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（二）天津市自然科学奖、天津市技术发明奖、天津市科学技术进步奖：坚持优中选优，提名本学科、本行业、本地区、本部门的优秀项目。</w:t>
      </w:r>
    </w:p>
    <w:p w14:paraId="066CF3D6"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（三）天津市国际科学技术合作奖：注重提名学术水平高、国际影响大，对我市经济、社会发展有重要推动作用且长期友好的外国人或组织。</w:t>
      </w:r>
    </w:p>
    <w:p w14:paraId="1CD308C6" w14:textId="77777777" w:rsidR="00A833AF" w:rsidRDefault="00000000">
      <w:pPr>
        <w:adjustRightInd w:val="0"/>
        <w:snapToGrid w:val="0"/>
        <w:spacing w:beforeLines="100" w:before="312" w:afterLines="50" w:after="156" w:line="560" w:lineRule="exact"/>
        <w:jc w:val="center"/>
        <w:rPr>
          <w:rFonts w:ascii="黑体" w:eastAsia="黑体" w:hAnsi="黑体" w:cs="黑体" w:hint="eastAsia"/>
          <w:bCs/>
          <w:sz w:val="32"/>
          <w:szCs w:val="32"/>
        </w:rPr>
      </w:pPr>
      <w:r>
        <w:rPr>
          <w:rFonts w:ascii="黑体" w:eastAsia="黑体" w:hAnsi="黑体" w:cs="黑体" w:hint="eastAsia"/>
          <w:bCs/>
          <w:sz w:val="32"/>
          <w:szCs w:val="32"/>
        </w:rPr>
        <w:t>第三章 提名者责任与管理</w:t>
      </w:r>
    </w:p>
    <w:p w14:paraId="670457F6"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第九条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提名者应承担提名、答辩、异议答复等责任，并对相关材料的真实性和准确性负责。多名专家联合提名时，责任专家牵头负责相关事项。</w:t>
      </w:r>
    </w:p>
    <w:p w14:paraId="2CAF75E0"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提名者应按要求准备相应提名材料，并根据天津市科学技术奖的标准和条件，对提名等级严格把关。</w:t>
      </w:r>
    </w:p>
    <w:p w14:paraId="6249CF5D"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第十一条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提名者提名前，应征得项目主要完成人及其工作单位和完成单位的同意，须按公示要求在项目主要完成人所在单位、主要完成单位、提名单位分别进行公示。</w:t>
      </w:r>
    </w:p>
    <w:p w14:paraId="44A51D71" w14:textId="338FE7AA"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第十二条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提名者应严格遵守</w:t>
      </w:r>
      <w:r w:rsidR="008E0A7C" w:rsidRPr="008E0A7C">
        <w:rPr>
          <w:rFonts w:ascii="Nimbus Roman No9 L" w:eastAsia="仿宋_GB2312" w:hAnsi="Nimbus Roman No9 L" w:hint="eastAsia"/>
          <w:sz w:val="32"/>
          <w:szCs w:val="32"/>
        </w:rPr>
        <w:t>《中华人民共和国保守国家秘密法》</w:t>
      </w:r>
      <w:r>
        <w:rPr>
          <w:rFonts w:ascii="Nimbus Roman No9 L" w:eastAsia="仿宋_GB2312" w:hAnsi="Nimbus Roman No9 L" w:hint="eastAsia"/>
          <w:sz w:val="32"/>
          <w:szCs w:val="32"/>
        </w:rPr>
        <w:t>和《科学技术保密规定》等有关保密规定，加强公示范围、方式、内容等管理，防范技术路线、技术参数、成果应用等内容中关键敏感信息泄露。</w:t>
      </w:r>
    </w:p>
    <w:p w14:paraId="0D675F28" w14:textId="77777777" w:rsidR="00A833AF" w:rsidRDefault="00000000">
      <w:pPr>
        <w:adjustRightInd w:val="0"/>
        <w:snapToGrid w:val="0"/>
        <w:spacing w:beforeLines="100" w:before="312" w:afterLines="50" w:after="156" w:line="560" w:lineRule="exact"/>
        <w:jc w:val="center"/>
        <w:rPr>
          <w:rFonts w:ascii="Nimbus Roman No9 L" w:eastAsia="仿宋_GB2312" w:hAnsi="Nimbus Roman No9 L" w:hint="eastAsia"/>
          <w:bCs/>
          <w:sz w:val="32"/>
          <w:szCs w:val="32"/>
        </w:rPr>
      </w:pPr>
      <w:r>
        <w:rPr>
          <w:rFonts w:ascii="黑体" w:eastAsia="黑体" w:hAnsi="黑体" w:cs="黑体" w:hint="eastAsia"/>
          <w:bCs/>
          <w:sz w:val="32"/>
          <w:szCs w:val="32"/>
        </w:rPr>
        <w:t>第四章 被提名项目（人选）基本条件</w:t>
      </w:r>
    </w:p>
    <w:p w14:paraId="51BA329C"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第十三条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被提名项目（人选）必须符合《天津市科学技术奖励办法实施细则》的有关要求，还必须满足以下条件：</w:t>
      </w:r>
    </w:p>
    <w:p w14:paraId="6F346389"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（一）被提名天津市自然科学奖项目提供的代表性论文论著应公开发表一年以上，技术发明奖和科学技术进步奖项目应实现整体技术应用一年以上。</w:t>
      </w:r>
    </w:p>
    <w:p w14:paraId="47DB68F1"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（二）同一人作为第一完成人最多可获得两项提名；</w:t>
      </w:r>
    </w:p>
    <w:p w14:paraId="4755CE3A"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（三）同一项目连续两年提名未获奖，该项目暂停一年提名；</w:t>
      </w:r>
    </w:p>
    <w:p w14:paraId="41D55765"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（四）</w:t>
      </w:r>
      <w:r>
        <w:rPr>
          <w:rFonts w:ascii="Nimbus Roman No9 L" w:eastAsia="仿宋_GB2312" w:hAnsi="Nimbus Roman No9 L" w:hint="eastAsia"/>
          <w:sz w:val="32"/>
          <w:szCs w:val="32"/>
        </w:rPr>
        <w:t>2022</w:t>
      </w:r>
      <w:r>
        <w:rPr>
          <w:rFonts w:ascii="Nimbus Roman No9 L" w:eastAsia="仿宋_GB2312" w:hAnsi="Nimbus Roman No9 L" w:hint="eastAsia"/>
          <w:sz w:val="32"/>
          <w:szCs w:val="32"/>
        </w:rPr>
        <w:t>年度天津市自然科学奖、技术发明奖和科学技术进步奖的特等奖、一等奖获奖项目第一完成人，不能作为本年度天津市自然科学奖、技术发明奖和科学技术进步奖提名项目的第一完成人；</w:t>
      </w:r>
    </w:p>
    <w:p w14:paraId="30868CBE" w14:textId="77777777" w:rsidR="00A833AF" w:rsidRDefault="00000000">
      <w:pPr>
        <w:adjustRightInd w:val="0"/>
        <w:snapToGrid w:val="0"/>
        <w:spacing w:line="560" w:lineRule="exact"/>
        <w:ind w:firstLineChars="200" w:firstLine="640"/>
        <w:rPr>
          <w:rFonts w:ascii="Nimbus Roman No9 L" w:eastAsia="仿宋_GB2312" w:hAnsi="Nimbus Roman No9 L" w:hint="eastAsia"/>
          <w:sz w:val="32"/>
          <w:szCs w:val="32"/>
        </w:rPr>
      </w:pPr>
      <w:r>
        <w:rPr>
          <w:rFonts w:ascii="Nimbus Roman No9 L" w:eastAsia="仿宋_GB2312" w:hAnsi="Nimbus Roman No9 L" w:hint="eastAsia"/>
          <w:sz w:val="32"/>
          <w:szCs w:val="32"/>
        </w:rPr>
        <w:t>（五）根据《天津市科技计划项目科研诚信管理办法》（津科规〔</w:t>
      </w:r>
      <w:r>
        <w:rPr>
          <w:rFonts w:ascii="Nimbus Roman No9 L" w:eastAsia="仿宋_GB2312" w:hAnsi="Nimbus Roman No9 L" w:hint="eastAsia"/>
          <w:sz w:val="32"/>
          <w:szCs w:val="32"/>
        </w:rPr>
        <w:t>2022</w:t>
      </w:r>
      <w:r>
        <w:rPr>
          <w:rFonts w:ascii="Nimbus Roman No9 L" w:eastAsia="仿宋_GB2312" w:hAnsi="Nimbus Roman No9 L" w:hint="eastAsia"/>
          <w:sz w:val="32"/>
          <w:szCs w:val="32"/>
        </w:rPr>
        <w:t>〕</w:t>
      </w:r>
      <w:r>
        <w:rPr>
          <w:rFonts w:ascii="Nimbus Roman No9 L" w:eastAsia="仿宋_GB2312" w:hAnsi="Nimbus Roman No9 L" w:hint="eastAsia"/>
          <w:sz w:val="32"/>
          <w:szCs w:val="32"/>
        </w:rPr>
        <w:t>2</w:t>
      </w:r>
      <w:r>
        <w:rPr>
          <w:rFonts w:ascii="Nimbus Roman No9 L" w:eastAsia="仿宋_GB2312" w:hAnsi="Nimbus Roman No9 L" w:hint="eastAsia"/>
          <w:sz w:val="32"/>
          <w:szCs w:val="32"/>
        </w:rPr>
        <w:t>号）有关规定，被列入失信行为记录且被采取限制措施的人员或组织，不得作为提名项目完成人或完成单位。</w:t>
      </w:r>
    </w:p>
    <w:p w14:paraId="34D220B4" w14:textId="77777777" w:rsidR="00A833AF" w:rsidRDefault="00000000">
      <w:pPr>
        <w:adjustRightInd w:val="0"/>
        <w:snapToGrid w:val="0"/>
        <w:spacing w:beforeLines="100" w:before="312" w:afterLines="50" w:after="156" w:line="560" w:lineRule="exact"/>
        <w:jc w:val="center"/>
        <w:rPr>
          <w:rFonts w:ascii="黑体" w:eastAsia="黑体" w:hAnsi="黑体" w:cs="黑体" w:hint="eastAsia"/>
          <w:bCs/>
          <w:sz w:val="32"/>
          <w:szCs w:val="32"/>
        </w:rPr>
      </w:pPr>
      <w:r>
        <w:rPr>
          <w:rFonts w:ascii="黑体" w:eastAsia="黑体" w:hAnsi="黑体" w:cs="黑体" w:hint="eastAsia"/>
          <w:bCs/>
          <w:sz w:val="32"/>
          <w:szCs w:val="32"/>
        </w:rPr>
        <w:t>第五章 提名程序</w:t>
      </w:r>
    </w:p>
    <w:p w14:paraId="7C3D5E65"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第十四条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市科技局公开发布提名工作通知。具备提名资格的专家、单位，根据通知要求开展提名工作。</w:t>
      </w:r>
    </w:p>
    <w:p w14:paraId="595B540F"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第十五条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被提名项目（人选）在项目主要完成人所在单位、主要完成单位、提名单位分别进行公示。公示时间不少于</w:t>
      </w:r>
      <w:r>
        <w:rPr>
          <w:rFonts w:ascii="Nimbus Roman No9 L" w:eastAsia="仿宋_GB2312" w:hAnsi="Nimbus Roman No9 L" w:cs="Nimbus Roman No9 L" w:hint="eastAsia"/>
          <w:sz w:val="32"/>
          <w:szCs w:val="32"/>
        </w:rPr>
        <w:t>7</w:t>
      </w:r>
      <w:r>
        <w:rPr>
          <w:rFonts w:ascii="Nimbus Roman No9 L" w:eastAsia="仿宋_GB2312" w:hAnsi="Nimbus Roman No9 L" w:hint="eastAsia"/>
          <w:sz w:val="32"/>
          <w:szCs w:val="32"/>
        </w:rPr>
        <w:t>个自然日。公示无异议方可提名。</w:t>
      </w:r>
    </w:p>
    <w:p w14:paraId="1FB49799"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第十六条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提名单位、提名专家登录天津市科技奖励管理信息系统，为所提名项目创建填报账号，并组织项目完成单位或完成人按要求填报提名书。</w:t>
      </w:r>
    </w:p>
    <w:p w14:paraId="6E287B62" w14:textId="77777777" w:rsidR="00A833AF" w:rsidRDefault="00000000">
      <w:pPr>
        <w:adjustRightInd w:val="0"/>
        <w:snapToGrid w:val="0"/>
        <w:spacing w:line="560" w:lineRule="exact"/>
        <w:jc w:val="center"/>
        <w:rPr>
          <w:rFonts w:ascii="Nimbus Roman No9 L" w:eastAsia="黑体" w:hAnsi="Nimbus Roman No9 L" w:hint="eastAsia"/>
          <w:sz w:val="32"/>
          <w:szCs w:val="32"/>
        </w:rPr>
      </w:pPr>
      <w:r>
        <w:rPr>
          <w:rFonts w:ascii="黑体" w:eastAsia="黑体" w:hAnsi="黑体" w:cs="黑体" w:hint="eastAsia"/>
          <w:bCs/>
          <w:sz w:val="32"/>
          <w:szCs w:val="32"/>
        </w:rPr>
        <w:t>第六章 附则</w:t>
      </w:r>
    </w:p>
    <w:p w14:paraId="22123E4A" w14:textId="77777777" w:rsidR="00A833AF" w:rsidRDefault="00000000">
      <w:pPr>
        <w:adjustRightInd w:val="0"/>
        <w:snapToGrid w:val="0"/>
        <w:spacing w:line="560" w:lineRule="exact"/>
        <w:ind w:firstLineChars="200" w:firstLine="643"/>
        <w:rPr>
          <w:rFonts w:ascii="Nimbus Roman No9 L" w:eastAsia="仿宋_GB2312" w:hAnsi="Nimbus Roman No9 L" w:hint="eastAsia"/>
          <w:sz w:val="32"/>
          <w:szCs w:val="32"/>
        </w:rPr>
      </w:pPr>
      <w:r>
        <w:rPr>
          <w:rFonts w:ascii="Nimbus Roman No9 L" w:eastAsia="仿宋_GB2312" w:hAnsi="Nimbus Roman No9 L" w:hint="eastAsia"/>
          <w:b/>
          <w:bCs/>
          <w:sz w:val="32"/>
          <w:szCs w:val="32"/>
        </w:rPr>
        <w:t>第十七条</w:t>
      </w:r>
      <w:r>
        <w:rPr>
          <w:rFonts w:ascii="Nimbus Roman No9 L" w:eastAsia="仿宋_GB2312" w:hAnsi="Nimbus Roman No9 L" w:hint="eastAsia"/>
          <w:sz w:val="32"/>
          <w:szCs w:val="32"/>
        </w:rPr>
        <w:t xml:space="preserve"> </w:t>
      </w:r>
      <w:r>
        <w:rPr>
          <w:rFonts w:ascii="Nimbus Roman No9 L" w:eastAsia="仿宋_GB2312" w:hAnsi="Nimbus Roman No9 L" w:hint="eastAsia"/>
          <w:sz w:val="32"/>
          <w:szCs w:val="32"/>
        </w:rPr>
        <w:t>本方案如有重大调整，须提请市科技局局长办公会审议。</w:t>
      </w:r>
    </w:p>
    <w:sectPr w:rsidR="00A833AF">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1B7AF" w14:textId="77777777" w:rsidR="000C5F27" w:rsidRDefault="000C5F27">
      <w:r>
        <w:separator/>
      </w:r>
    </w:p>
  </w:endnote>
  <w:endnote w:type="continuationSeparator" w:id="0">
    <w:p w14:paraId="0C529F22" w14:textId="77777777" w:rsidR="000C5F27" w:rsidRDefault="000C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imbus Roman No9 L">
    <w:altName w:val="Calibri"/>
    <w:charset w:val="00"/>
    <w:family w:val="auto"/>
    <w:pitch w:val="default"/>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429B" w14:textId="77777777" w:rsidR="00A833AF" w:rsidRDefault="00000000">
    <w:pPr>
      <w:pStyle w:val="a3"/>
    </w:pPr>
    <w:r>
      <w:rPr>
        <w:noProof/>
      </w:rPr>
      <mc:AlternateContent>
        <mc:Choice Requires="wps">
          <w:drawing>
            <wp:anchor distT="0" distB="0" distL="114300" distR="114300" simplePos="0" relativeHeight="251659264" behindDoc="0" locked="0" layoutInCell="1" allowOverlap="1" wp14:anchorId="1A723466" wp14:editId="2A50E7C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96688" w14:textId="77777777" w:rsidR="00A833AF"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72346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D96688" w14:textId="77777777" w:rsidR="00A833AF"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9D7D7" w14:textId="77777777" w:rsidR="000C5F27" w:rsidRDefault="000C5F27">
      <w:r>
        <w:separator/>
      </w:r>
    </w:p>
  </w:footnote>
  <w:footnote w:type="continuationSeparator" w:id="0">
    <w:p w14:paraId="741FB335" w14:textId="77777777" w:rsidR="000C5F27" w:rsidRDefault="000C5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k5YjQ2MGRkN2RkZmQ5NzMwOTBjMmVhNzA1NWQ1NTcifQ=="/>
  </w:docVars>
  <w:rsids>
    <w:rsidRoot w:val="57945167"/>
    <w:rsid w:val="ABBF51B8"/>
    <w:rsid w:val="AFED4315"/>
    <w:rsid w:val="B7D49A42"/>
    <w:rsid w:val="BB8DCB63"/>
    <w:rsid w:val="BFFE5AD4"/>
    <w:rsid w:val="D3FB7B2B"/>
    <w:rsid w:val="DFDF44DB"/>
    <w:rsid w:val="EEFFCF95"/>
    <w:rsid w:val="EFD57DD4"/>
    <w:rsid w:val="F6164799"/>
    <w:rsid w:val="FDDFDEE4"/>
    <w:rsid w:val="FDFF48AD"/>
    <w:rsid w:val="FEEE5C08"/>
    <w:rsid w:val="FEEF3154"/>
    <w:rsid w:val="00052233"/>
    <w:rsid w:val="000C5F27"/>
    <w:rsid w:val="0011571D"/>
    <w:rsid w:val="001D4F89"/>
    <w:rsid w:val="001E54EC"/>
    <w:rsid w:val="002228EC"/>
    <w:rsid w:val="0029677C"/>
    <w:rsid w:val="00333744"/>
    <w:rsid w:val="004353E6"/>
    <w:rsid w:val="00480CBF"/>
    <w:rsid w:val="00534B10"/>
    <w:rsid w:val="00571065"/>
    <w:rsid w:val="00655B8A"/>
    <w:rsid w:val="00811B3B"/>
    <w:rsid w:val="008C2E5B"/>
    <w:rsid w:val="008E0A7C"/>
    <w:rsid w:val="00A71BC8"/>
    <w:rsid w:val="00A72AD1"/>
    <w:rsid w:val="00A833AF"/>
    <w:rsid w:val="00BA2595"/>
    <w:rsid w:val="00BD717C"/>
    <w:rsid w:val="00C74A55"/>
    <w:rsid w:val="00D54D28"/>
    <w:rsid w:val="00F67A7E"/>
    <w:rsid w:val="0A7D3506"/>
    <w:rsid w:val="27AFCDBE"/>
    <w:rsid w:val="2BE52372"/>
    <w:rsid w:val="2EDFAC6B"/>
    <w:rsid w:val="2FFF5119"/>
    <w:rsid w:val="36BE4B61"/>
    <w:rsid w:val="398717C2"/>
    <w:rsid w:val="3AEFB637"/>
    <w:rsid w:val="3E7C6ECB"/>
    <w:rsid w:val="4EFA056E"/>
    <w:rsid w:val="57945167"/>
    <w:rsid w:val="5B74F4D1"/>
    <w:rsid w:val="5DB7362A"/>
    <w:rsid w:val="5FFF2A67"/>
    <w:rsid w:val="6EDF14F3"/>
    <w:rsid w:val="763E2132"/>
    <w:rsid w:val="77D75E9D"/>
    <w:rsid w:val="77EDC7F6"/>
    <w:rsid w:val="785B4D5E"/>
    <w:rsid w:val="7C54DAB8"/>
    <w:rsid w:val="7DBF5DF0"/>
    <w:rsid w:val="7F3F45B0"/>
    <w:rsid w:val="7FB7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E09E"/>
  <w15:docId w15:val="{720108D3-9D0E-4E85-90FC-83A63D14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301</Words>
  <Characters>1721</Characters>
  <Application>Microsoft Office Word</Application>
  <DocSecurity>0</DocSecurity>
  <Lines>14</Lines>
  <Paragraphs>4</Paragraphs>
  <ScaleCrop>false</ScaleCrop>
  <Company>DoubleOX</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wendy yang</cp:lastModifiedBy>
  <cp:revision>3</cp:revision>
  <cp:lastPrinted>2023-06-11T16:25:00Z</cp:lastPrinted>
  <dcterms:created xsi:type="dcterms:W3CDTF">2022-07-11T23:32:00Z</dcterms:created>
  <dcterms:modified xsi:type="dcterms:W3CDTF">2024-12-13T07:05:00Z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809FEF106C3A4CA4BA3C936B9A77CEE7_13</vt:lpwstr>
  </property>
</Properties>
</file>