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rPr>
      </w:pPr>
    </w:p>
    <w:p>
      <w:pPr>
        <w:spacing w:line="300" w:lineRule="auto"/>
        <w:ind w:left="-110" w:leftChars="-50" w:right="-110" w:rightChars="-50"/>
        <w:jc w:val="center"/>
        <w:rPr>
          <w:rFonts w:ascii="Times New Roman" w:hAnsi="Times New Roman" w:cs="Times New Roman"/>
          <w:b/>
          <w:sz w:val="52"/>
          <w:szCs w:val="52"/>
          <w:lang w:eastAsia="zh-CN"/>
        </w:rPr>
      </w:pPr>
      <w:r>
        <w:rPr>
          <w:rFonts w:hint="eastAsia" w:ascii="Times New Roman" w:hAnsi="Times New Roman" w:cs="Times New Roman"/>
          <w:b/>
          <w:sz w:val="52"/>
          <w:szCs w:val="52"/>
          <w:lang w:eastAsia="zh-CN"/>
        </w:rPr>
        <w:t>食品安全委员会工作经费</w:t>
      </w:r>
    </w:p>
    <w:p>
      <w:pPr>
        <w:spacing w:line="300" w:lineRule="auto"/>
        <w:ind w:left="-110" w:leftChars="-50" w:right="-110" w:rightChars="-50"/>
        <w:jc w:val="center"/>
        <w:rPr>
          <w:rFonts w:ascii="Times New Roman" w:hAnsi="Times New Roman" w:cs="Times New Roman"/>
          <w:b/>
          <w:sz w:val="52"/>
          <w:szCs w:val="52"/>
          <w:lang w:eastAsia="zh-CN"/>
        </w:rPr>
      </w:pPr>
      <w:r>
        <w:rPr>
          <w:rFonts w:ascii="Times New Roman" w:hAnsi="Times New Roman" w:cs="Times New Roman"/>
          <w:b/>
          <w:sz w:val="52"/>
          <w:szCs w:val="52"/>
          <w:lang w:eastAsia="zh-CN"/>
        </w:rPr>
        <w:t>项目支出</w:t>
      </w:r>
    </w:p>
    <w:p>
      <w:pPr>
        <w:spacing w:line="300" w:lineRule="auto"/>
        <w:rPr>
          <w:rFonts w:ascii="Times New Roman" w:hAnsi="Times New Roman" w:cs="Times New Roman"/>
          <w:b/>
          <w:sz w:val="52"/>
          <w:szCs w:val="52"/>
          <w:lang w:eastAsia="zh-CN"/>
        </w:rPr>
      </w:pPr>
    </w:p>
    <w:p>
      <w:pPr>
        <w:spacing w:line="300" w:lineRule="auto"/>
        <w:jc w:val="center"/>
        <w:rPr>
          <w:rFonts w:ascii="Times New Roman" w:hAnsi="Times New Roman" w:cs="Times New Roman"/>
          <w:b/>
          <w:sz w:val="52"/>
          <w:szCs w:val="52"/>
          <w:lang w:eastAsia="zh-CN"/>
        </w:rPr>
      </w:pPr>
      <w:r>
        <w:rPr>
          <w:rFonts w:ascii="Times New Roman" w:hAnsi="Times New Roman" w:cs="Times New Roman"/>
          <w:b/>
          <w:sz w:val="52"/>
          <w:szCs w:val="52"/>
          <w:lang w:eastAsia="zh-CN"/>
        </w:rPr>
        <w:t>绩效评价报告</w:t>
      </w:r>
    </w:p>
    <w:p>
      <w:pPr>
        <w:spacing w:line="300" w:lineRule="auto"/>
        <w:jc w:val="center"/>
        <w:rPr>
          <w:rFonts w:ascii="Times New Roman" w:hAnsi="Times New Roman" w:cs="Times New Roman"/>
          <w:b/>
          <w:sz w:val="52"/>
          <w:szCs w:val="52"/>
          <w:lang w:eastAsia="zh-CN"/>
        </w:rPr>
      </w:pPr>
    </w:p>
    <w:p>
      <w:pPr>
        <w:spacing w:line="300" w:lineRule="auto"/>
        <w:jc w:val="center"/>
        <w:rPr>
          <w:rFonts w:ascii="Times New Roman" w:hAnsi="Times New Roman" w:cs="Times New Roman"/>
          <w:b/>
          <w:sz w:val="52"/>
          <w:szCs w:val="52"/>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spacing w:line="600" w:lineRule="auto"/>
        <w:jc w:val="center"/>
        <w:rPr>
          <w:rFonts w:ascii="Times New Roman" w:hAnsi="Times New Roman" w:cs="Times New Roman"/>
          <w:b/>
          <w:sz w:val="44"/>
          <w:szCs w:val="44"/>
          <w:lang w:eastAsia="zh-CN"/>
        </w:rPr>
      </w:pPr>
      <w:r>
        <w:rPr>
          <w:rFonts w:ascii="Times New Roman" w:hAnsi="Times New Roman" w:cs="Times New Roman"/>
          <w:b/>
          <w:sz w:val="44"/>
          <w:szCs w:val="44"/>
          <w:lang w:eastAsia="zh-CN"/>
        </w:rPr>
        <w:t>天津东疆保税港区财政局</w:t>
      </w:r>
    </w:p>
    <w:p>
      <w:pPr>
        <w:spacing w:line="600" w:lineRule="auto"/>
        <w:jc w:val="center"/>
        <w:rPr>
          <w:rFonts w:ascii="Times New Roman" w:hAnsi="Times New Roman" w:cs="Times New Roman"/>
          <w:b/>
          <w:sz w:val="44"/>
          <w:szCs w:val="44"/>
          <w:lang w:eastAsia="zh-CN"/>
        </w:rPr>
      </w:pPr>
      <w:r>
        <w:rPr>
          <w:rFonts w:ascii="Times New Roman" w:hAnsi="Times New Roman" w:cs="Times New Roman"/>
          <w:b/>
          <w:sz w:val="44"/>
          <w:szCs w:val="44"/>
          <w:lang w:eastAsia="zh-CN"/>
        </w:rPr>
        <w:t>天津兴业工程咨询有限公司</w:t>
      </w:r>
    </w:p>
    <w:p>
      <w:pPr>
        <w:spacing w:line="600" w:lineRule="auto"/>
        <w:jc w:val="center"/>
        <w:rPr>
          <w:rFonts w:ascii="Times New Roman" w:hAnsi="Times New Roman" w:cs="Times New Roman"/>
          <w:b/>
          <w:sz w:val="44"/>
          <w:szCs w:val="44"/>
          <w:lang w:eastAsia="zh-CN"/>
        </w:rPr>
        <w:sectPr>
          <w:footerReference r:id="rId3" w:type="default"/>
          <w:pgSz w:w="11906" w:h="16838"/>
          <w:pgMar w:top="1440" w:right="1800" w:bottom="1440" w:left="1800" w:header="851" w:footer="992" w:gutter="0"/>
          <w:cols w:space="720" w:num="1"/>
          <w:docGrid w:type="lines" w:linePitch="312" w:charSpace="0"/>
        </w:sectPr>
      </w:pPr>
      <w:r>
        <w:rPr>
          <w:rFonts w:ascii="Times New Roman" w:hAnsi="Times New Roman" w:cs="Times New Roman"/>
          <w:b/>
          <w:sz w:val="44"/>
          <w:szCs w:val="44"/>
          <w:lang w:eastAsia="zh-CN"/>
        </w:rPr>
        <w:t>202</w:t>
      </w:r>
      <w:r>
        <w:rPr>
          <w:rFonts w:hint="eastAsia" w:ascii="Times New Roman" w:hAnsi="Times New Roman" w:cs="Times New Roman"/>
          <w:b/>
          <w:sz w:val="44"/>
          <w:szCs w:val="44"/>
          <w:lang w:eastAsia="zh-CN"/>
        </w:rPr>
        <w:t>2</w:t>
      </w:r>
      <w:r>
        <w:rPr>
          <w:rFonts w:ascii="Times New Roman" w:hAnsi="Times New Roman" w:cs="Times New Roman"/>
          <w:b/>
          <w:sz w:val="44"/>
          <w:szCs w:val="44"/>
          <w:lang w:eastAsia="zh-CN"/>
        </w:rPr>
        <w:t>年</w:t>
      </w:r>
      <w:r>
        <w:rPr>
          <w:rFonts w:hint="eastAsia" w:ascii="Times New Roman" w:hAnsi="Times New Roman" w:cs="Times New Roman"/>
          <w:b/>
          <w:sz w:val="44"/>
          <w:szCs w:val="44"/>
          <w:lang w:eastAsia="zh-CN"/>
        </w:rPr>
        <w:t>6</w:t>
      </w:r>
      <w:r>
        <w:rPr>
          <w:rFonts w:ascii="Times New Roman" w:hAnsi="Times New Roman" w:cs="Times New Roman"/>
          <w:b/>
          <w:sz w:val="44"/>
          <w:szCs w:val="44"/>
          <w:lang w:eastAsia="zh-CN"/>
        </w:rPr>
        <w:t>月</w:t>
      </w: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spacing w:line="300" w:lineRule="auto"/>
        <w:ind w:left="-110" w:leftChars="-50" w:right="-110" w:rightChars="-50"/>
        <w:jc w:val="center"/>
        <w:rPr>
          <w:rFonts w:ascii="Times New Roman" w:hAnsi="Times New Roman" w:cs="Times New Roman"/>
          <w:b/>
          <w:sz w:val="52"/>
          <w:szCs w:val="52"/>
          <w:lang w:eastAsia="zh-CN"/>
        </w:rPr>
      </w:pPr>
      <w:r>
        <w:rPr>
          <w:rFonts w:hint="eastAsia" w:ascii="Times New Roman" w:hAnsi="Times New Roman" w:cs="Times New Roman"/>
          <w:b/>
          <w:sz w:val="52"/>
          <w:szCs w:val="52"/>
          <w:lang w:eastAsia="zh-CN"/>
        </w:rPr>
        <w:t>食品安全委员会工作经费</w:t>
      </w:r>
    </w:p>
    <w:p>
      <w:pPr>
        <w:spacing w:line="300" w:lineRule="auto"/>
        <w:ind w:left="-110" w:leftChars="-50" w:right="-110" w:rightChars="-50"/>
        <w:jc w:val="center"/>
        <w:rPr>
          <w:rFonts w:ascii="Times New Roman" w:hAnsi="Times New Roman" w:cs="Times New Roman"/>
          <w:b/>
          <w:sz w:val="52"/>
          <w:szCs w:val="52"/>
          <w:lang w:eastAsia="zh-CN"/>
        </w:rPr>
      </w:pPr>
      <w:r>
        <w:rPr>
          <w:rFonts w:ascii="Times New Roman" w:hAnsi="Times New Roman" w:cs="Times New Roman"/>
          <w:b/>
          <w:sz w:val="52"/>
          <w:szCs w:val="52"/>
          <w:lang w:eastAsia="zh-CN"/>
        </w:rPr>
        <w:t>项目支出</w:t>
      </w:r>
    </w:p>
    <w:p>
      <w:pPr>
        <w:spacing w:line="300" w:lineRule="auto"/>
        <w:jc w:val="center"/>
        <w:rPr>
          <w:rFonts w:ascii="Times New Roman" w:hAnsi="Times New Roman" w:cs="Times New Roman"/>
          <w:b/>
          <w:sz w:val="52"/>
          <w:szCs w:val="52"/>
          <w:lang w:eastAsia="zh-CN"/>
        </w:rPr>
      </w:pPr>
    </w:p>
    <w:p>
      <w:pPr>
        <w:spacing w:line="300" w:lineRule="auto"/>
        <w:jc w:val="center"/>
        <w:rPr>
          <w:rFonts w:ascii="Times New Roman" w:hAnsi="Times New Roman" w:cs="Times New Roman"/>
          <w:b/>
          <w:sz w:val="52"/>
          <w:szCs w:val="52"/>
          <w:lang w:eastAsia="zh-CN"/>
        </w:rPr>
      </w:pPr>
      <w:r>
        <w:rPr>
          <w:rFonts w:ascii="Times New Roman" w:hAnsi="Times New Roman" w:cs="Times New Roman"/>
          <w:b/>
          <w:sz w:val="52"/>
          <w:szCs w:val="52"/>
          <w:lang w:eastAsia="zh-CN"/>
        </w:rPr>
        <w:t>绩效评价报告</w:t>
      </w:r>
    </w:p>
    <w:p>
      <w:pPr>
        <w:spacing w:line="300" w:lineRule="auto"/>
        <w:jc w:val="center"/>
        <w:rPr>
          <w:rFonts w:ascii="Times New Roman" w:hAnsi="Times New Roman" w:cs="Times New Roman"/>
          <w:b/>
          <w:sz w:val="52"/>
          <w:szCs w:val="52"/>
          <w:lang w:eastAsia="zh-CN"/>
        </w:rPr>
      </w:pPr>
      <w:r>
        <w:rPr>
          <w:rFonts w:hint="eastAsia" w:ascii="Times New Roman" w:hAnsi="Times New Roman" w:eastAsia="楷体"/>
          <w:bCs/>
          <w:sz w:val="32"/>
          <w:szCs w:val="32"/>
          <w:lang w:eastAsia="zh-CN"/>
        </w:rPr>
        <w:t>咨询字</w:t>
      </w:r>
      <w:r>
        <w:rPr>
          <w:rFonts w:ascii="Times New Roman" w:hAnsi="Times New Roman" w:eastAsia="楷体"/>
          <w:bCs/>
          <w:sz w:val="32"/>
          <w:szCs w:val="32"/>
          <w:lang w:eastAsia="zh-CN"/>
        </w:rPr>
        <w:t>[2022]0</w:t>
      </w:r>
      <w:r>
        <w:rPr>
          <w:rFonts w:hint="eastAsia" w:ascii="Times New Roman" w:hAnsi="Times New Roman" w:eastAsia="楷体"/>
          <w:bCs/>
          <w:sz w:val="32"/>
          <w:szCs w:val="32"/>
          <w:lang w:val="en-US" w:eastAsia="zh-CN"/>
        </w:rPr>
        <w:t>46</w:t>
      </w:r>
      <w:r>
        <w:rPr>
          <w:rFonts w:hint="eastAsia" w:ascii="Times New Roman" w:hAnsi="Times New Roman" w:eastAsia="楷体"/>
          <w:bCs/>
          <w:sz w:val="32"/>
          <w:szCs w:val="32"/>
          <w:lang w:eastAsia="zh-CN"/>
        </w:rPr>
        <w:t>号</w:t>
      </w:r>
      <w:bookmarkStart w:id="146" w:name="_GoBack"/>
      <w:bookmarkEnd w:id="146"/>
    </w:p>
    <w:p>
      <w:pPr>
        <w:spacing w:line="300" w:lineRule="auto"/>
        <w:jc w:val="center"/>
        <w:rPr>
          <w:rFonts w:ascii="Times New Roman" w:hAnsi="Times New Roman" w:cs="Times New Roman"/>
          <w:b/>
          <w:sz w:val="52"/>
          <w:szCs w:val="52"/>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spacing w:line="600" w:lineRule="auto"/>
        <w:jc w:val="center"/>
        <w:rPr>
          <w:rFonts w:ascii="Times New Roman" w:hAnsi="Times New Roman" w:cs="Times New Roman"/>
          <w:b/>
          <w:sz w:val="44"/>
          <w:szCs w:val="44"/>
          <w:lang w:eastAsia="zh-CN"/>
        </w:rPr>
      </w:pPr>
      <w:r>
        <w:rPr>
          <w:rFonts w:ascii="Times New Roman" w:hAnsi="Times New Roman" w:cs="Times New Roman"/>
          <w:b/>
          <w:sz w:val="44"/>
          <w:szCs w:val="44"/>
          <w:lang w:eastAsia="zh-CN"/>
        </w:rPr>
        <w:t>天津东疆保税港区财政局</w:t>
      </w:r>
    </w:p>
    <w:p>
      <w:pPr>
        <w:spacing w:line="600" w:lineRule="auto"/>
        <w:jc w:val="center"/>
        <w:rPr>
          <w:rFonts w:ascii="Times New Roman" w:hAnsi="Times New Roman" w:cs="Times New Roman"/>
          <w:b/>
          <w:sz w:val="44"/>
          <w:szCs w:val="44"/>
          <w:lang w:eastAsia="zh-CN"/>
        </w:rPr>
      </w:pPr>
      <w:r>
        <w:rPr>
          <w:rFonts w:ascii="Times New Roman" w:hAnsi="Times New Roman" w:cs="Times New Roman"/>
          <w:b/>
          <w:sz w:val="44"/>
          <w:szCs w:val="44"/>
          <w:lang w:eastAsia="zh-CN"/>
        </w:rPr>
        <w:t>天津兴业工程咨询有限公司</w:t>
      </w:r>
    </w:p>
    <w:p>
      <w:pPr>
        <w:spacing w:line="600" w:lineRule="auto"/>
        <w:jc w:val="center"/>
        <w:rPr>
          <w:rFonts w:ascii="Times New Roman" w:hAnsi="Times New Roman" w:cs="Times New Roman"/>
          <w:b/>
          <w:sz w:val="44"/>
          <w:szCs w:val="44"/>
          <w:lang w:eastAsia="zh-CN"/>
        </w:rPr>
      </w:pPr>
      <w:r>
        <w:rPr>
          <w:rFonts w:ascii="Times New Roman" w:hAnsi="Times New Roman" w:cs="Times New Roman"/>
          <w:b/>
          <w:sz w:val="44"/>
          <w:szCs w:val="44"/>
          <w:lang w:eastAsia="zh-CN"/>
        </w:rPr>
        <w:t>202</w:t>
      </w:r>
      <w:r>
        <w:rPr>
          <w:rFonts w:hint="eastAsia" w:ascii="Times New Roman" w:hAnsi="Times New Roman" w:cs="Times New Roman"/>
          <w:b/>
          <w:sz w:val="44"/>
          <w:szCs w:val="44"/>
          <w:lang w:eastAsia="zh-CN"/>
        </w:rPr>
        <w:t>2</w:t>
      </w:r>
      <w:r>
        <w:rPr>
          <w:rFonts w:ascii="Times New Roman" w:hAnsi="Times New Roman" w:cs="Times New Roman"/>
          <w:b/>
          <w:sz w:val="44"/>
          <w:szCs w:val="44"/>
          <w:lang w:eastAsia="zh-CN"/>
        </w:rPr>
        <w:t>年</w:t>
      </w:r>
      <w:r>
        <w:rPr>
          <w:rFonts w:hint="eastAsia" w:ascii="Times New Roman" w:hAnsi="Times New Roman" w:cs="Times New Roman"/>
          <w:b/>
          <w:sz w:val="44"/>
          <w:szCs w:val="44"/>
          <w:lang w:eastAsia="zh-CN"/>
        </w:rPr>
        <w:t>6</w:t>
      </w:r>
      <w:r>
        <w:rPr>
          <w:rFonts w:ascii="Times New Roman" w:hAnsi="Times New Roman" w:cs="Times New Roman"/>
          <w:b/>
          <w:sz w:val="44"/>
          <w:szCs w:val="44"/>
          <w:lang w:eastAsia="zh-CN"/>
        </w:rPr>
        <w:t>月</w:t>
      </w:r>
    </w:p>
    <w:p>
      <w:pPr>
        <w:spacing w:line="600" w:lineRule="auto"/>
        <w:jc w:val="center"/>
        <w:rPr>
          <w:rFonts w:ascii="Times New Roman" w:hAnsi="Times New Roman" w:cs="Times New Roman"/>
          <w:b/>
          <w:sz w:val="44"/>
          <w:szCs w:val="44"/>
          <w:lang w:eastAsia="zh-CN"/>
        </w:rPr>
      </w:pPr>
    </w:p>
    <w:p>
      <w:pPr>
        <w:spacing w:line="600" w:lineRule="auto"/>
        <w:jc w:val="center"/>
        <w:rPr>
          <w:rFonts w:ascii="Times New Roman" w:hAnsi="Times New Roman" w:cs="Times New Roman"/>
          <w:b/>
          <w:sz w:val="44"/>
          <w:szCs w:val="44"/>
          <w:lang w:eastAsia="zh-CN"/>
        </w:rPr>
        <w:sectPr>
          <w:pgSz w:w="11906" w:h="16838"/>
          <w:pgMar w:top="1440" w:right="1800" w:bottom="1440" w:left="1800" w:header="851" w:footer="992" w:gutter="0"/>
          <w:cols w:space="720" w:num="1"/>
          <w:docGrid w:type="lines" w:linePitch="312" w:charSpace="0"/>
        </w:sectPr>
      </w:pPr>
    </w:p>
    <w:sdt>
      <w:sdtPr>
        <w:rPr>
          <w:rFonts w:ascii="Times New Roman" w:hAnsi="Times New Roman" w:eastAsiaTheme="minorEastAsia" w:cstheme="minorBidi"/>
          <w:b w:val="0"/>
          <w:bCs w:val="0"/>
          <w:color w:val="auto"/>
          <w:sz w:val="22"/>
          <w:szCs w:val="22"/>
          <w:lang w:val="zh-CN" w:eastAsia="en-US"/>
        </w:rPr>
        <w:id w:val="-1636710353"/>
        <w:docPartObj>
          <w:docPartGallery w:val="Table of Contents"/>
          <w:docPartUnique/>
        </w:docPartObj>
      </w:sdtPr>
      <w:sdtEndPr>
        <w:rPr>
          <w:rFonts w:ascii="Times New Roman" w:hAnsi="Times New Roman" w:eastAsia="仿宋_GB2312" w:cs="Times New Roman"/>
          <w:b w:val="0"/>
          <w:bCs w:val="0"/>
          <w:color w:val="auto"/>
          <w:sz w:val="32"/>
          <w:szCs w:val="32"/>
          <w:lang w:val="zh-CN" w:eastAsia="en-US"/>
        </w:rPr>
      </w:sdtEndPr>
      <w:sdtContent>
        <w:p>
          <w:pPr>
            <w:pStyle w:val="19"/>
            <w:jc w:val="center"/>
            <w:rPr>
              <w:rFonts w:ascii="Times New Roman" w:hAnsi="Times New Roman" w:eastAsia="仿宋_GB2312"/>
              <w:color w:val="auto"/>
              <w:sz w:val="36"/>
              <w:szCs w:val="36"/>
              <w:lang w:val="zh-CN"/>
            </w:rPr>
          </w:pPr>
          <w:r>
            <w:rPr>
              <w:rFonts w:hint="eastAsia" w:ascii="Times New Roman" w:hAnsi="Times New Roman" w:eastAsia="仿宋_GB2312"/>
              <w:color w:val="auto"/>
              <w:sz w:val="36"/>
              <w:szCs w:val="36"/>
              <w:lang w:val="zh-CN"/>
            </w:rPr>
            <w:t>目  录</w:t>
          </w:r>
        </w:p>
        <w:p>
          <w:pPr>
            <w:rPr>
              <w:rFonts w:ascii="Times New Roman" w:hAnsi="Times New Roman"/>
              <w:lang w:val="zh-CN" w:eastAsia="zh-CN"/>
            </w:rPr>
          </w:pPr>
        </w:p>
        <w:p>
          <w:pPr>
            <w:pStyle w:val="8"/>
            <w:tabs>
              <w:tab w:val="right" w:leader="dot" w:pos="8296"/>
            </w:tabs>
            <w:rPr>
              <w:rFonts w:ascii="Times New Roman" w:hAnsi="Times New Roman" w:eastAsia="仿宋_GB2312" w:cs="Times New Roman"/>
              <w:kern w:val="2"/>
              <w:sz w:val="32"/>
              <w:szCs w:val="32"/>
              <w:lang w:eastAsia="zh-CN"/>
            </w:rPr>
          </w:pP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TOC \o "1-2" \h \z \u </w:instrText>
          </w:r>
          <w:r>
            <w:rPr>
              <w:rFonts w:ascii="Times New Roman" w:hAnsi="Times New Roman" w:eastAsia="仿宋_GB2312" w:cs="Times New Roman"/>
              <w:sz w:val="32"/>
              <w:szCs w:val="32"/>
            </w:rPr>
            <w:fldChar w:fldCharType="separate"/>
          </w:r>
          <w:r>
            <w:fldChar w:fldCharType="begin"/>
          </w:r>
          <w:r>
            <w:instrText xml:space="preserve"> HYPERLINK \l "_Toc112070748" </w:instrText>
          </w:r>
          <w:r>
            <w:fldChar w:fldCharType="separate"/>
          </w:r>
          <w:r>
            <w:rPr>
              <w:rStyle w:val="13"/>
              <w:rFonts w:ascii="Times New Roman" w:hAnsi="Times New Roman" w:eastAsia="仿宋_GB2312" w:cs="Times New Roman"/>
              <w:spacing w:val="-4"/>
              <w:w w:val="105"/>
              <w:sz w:val="32"/>
              <w:szCs w:val="32"/>
              <w:lang w:eastAsia="zh-CN"/>
            </w:rPr>
            <w:t>一、基本情况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_Toc112070748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"_Toc112070749" </w:instrText>
          </w:r>
          <w:r>
            <w:fldChar w:fldCharType="separate"/>
          </w:r>
          <w:r>
            <w:rPr>
              <w:rStyle w:val="13"/>
              <w:rFonts w:ascii="Times New Roman" w:hAnsi="Times New Roman" w:eastAsia="仿宋_GB2312" w:cs="Times New Roman"/>
              <w:sz w:val="32"/>
              <w:szCs w:val="32"/>
              <w:lang w:eastAsia="zh-CN"/>
            </w:rPr>
            <w:t>（一）项目概况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_Toc112070749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"_Toc112070750" </w:instrText>
          </w:r>
          <w:r>
            <w:fldChar w:fldCharType="separate"/>
          </w:r>
          <w:r>
            <w:rPr>
              <w:rStyle w:val="13"/>
              <w:rFonts w:ascii="Times New Roman" w:hAnsi="Times New Roman" w:eastAsia="仿宋_GB2312" w:cs="Times New Roman"/>
              <w:sz w:val="32"/>
              <w:szCs w:val="32"/>
              <w:lang w:eastAsia="zh-CN"/>
            </w:rPr>
            <w:t>（二）项目绩效目标</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_Toc112070750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8"/>
            <w:tabs>
              <w:tab w:val="right" w:leader="dot" w:pos="8296"/>
            </w:tabs>
            <w:rPr>
              <w:rFonts w:ascii="Times New Roman" w:hAnsi="Times New Roman" w:eastAsia="仿宋_GB2312" w:cs="Times New Roman"/>
              <w:kern w:val="2"/>
              <w:sz w:val="32"/>
              <w:szCs w:val="32"/>
              <w:lang w:eastAsia="zh-CN"/>
            </w:rPr>
          </w:pPr>
          <w:r>
            <w:fldChar w:fldCharType="begin"/>
          </w:r>
          <w:r>
            <w:instrText xml:space="preserve"> HYPERLINK \l "_Toc112070751" </w:instrText>
          </w:r>
          <w:r>
            <w:fldChar w:fldCharType="separate"/>
          </w:r>
          <w:r>
            <w:rPr>
              <w:rStyle w:val="13"/>
              <w:rFonts w:ascii="Times New Roman" w:hAnsi="Times New Roman" w:eastAsia="仿宋_GB2312" w:cs="Times New Roman"/>
              <w:spacing w:val="-4"/>
              <w:w w:val="105"/>
              <w:sz w:val="32"/>
              <w:szCs w:val="32"/>
              <w:lang w:eastAsia="zh-CN"/>
            </w:rPr>
            <w:t>二、绩效评价工作开展情况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_Toc112070751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5</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"_Toc112070752" </w:instrText>
          </w:r>
          <w:r>
            <w:fldChar w:fldCharType="separate"/>
          </w:r>
          <w:r>
            <w:rPr>
              <w:rStyle w:val="13"/>
              <w:rFonts w:ascii="Times New Roman" w:hAnsi="Times New Roman" w:eastAsia="仿宋_GB2312" w:cs="Times New Roman"/>
              <w:sz w:val="32"/>
              <w:szCs w:val="32"/>
              <w:lang w:eastAsia="zh-CN"/>
            </w:rPr>
            <w:t>（一）绩效评价目的、对象和范围</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_Toc112070752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5</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"_Toc112070753" </w:instrText>
          </w:r>
          <w:r>
            <w:fldChar w:fldCharType="separate"/>
          </w:r>
          <w:r>
            <w:rPr>
              <w:rStyle w:val="13"/>
              <w:rFonts w:ascii="Times New Roman" w:hAnsi="Times New Roman" w:eastAsia="仿宋_GB2312" w:cs="Times New Roman"/>
              <w:sz w:val="32"/>
              <w:szCs w:val="32"/>
              <w:lang w:eastAsia="zh-CN"/>
            </w:rPr>
            <w:t>（二）绩效评价原则、指标体系、方法、标准</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_Toc112070753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5</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"_Toc112070754" </w:instrText>
          </w:r>
          <w:r>
            <w:fldChar w:fldCharType="separate"/>
          </w:r>
          <w:r>
            <w:rPr>
              <w:rStyle w:val="13"/>
              <w:rFonts w:ascii="Times New Roman" w:hAnsi="Times New Roman" w:eastAsia="仿宋_GB2312" w:cs="Times New Roman"/>
              <w:sz w:val="32"/>
              <w:szCs w:val="32"/>
              <w:lang w:eastAsia="zh-CN"/>
            </w:rPr>
            <w:t>（三）绩效评价工作过程</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_Toc112070754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8</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8"/>
            <w:tabs>
              <w:tab w:val="right" w:leader="dot" w:pos="8296"/>
            </w:tabs>
            <w:rPr>
              <w:rFonts w:ascii="Times New Roman" w:hAnsi="Times New Roman" w:eastAsia="仿宋_GB2312" w:cs="Times New Roman"/>
              <w:kern w:val="2"/>
              <w:sz w:val="32"/>
              <w:szCs w:val="32"/>
              <w:lang w:eastAsia="zh-CN"/>
            </w:rPr>
          </w:pPr>
          <w:r>
            <w:fldChar w:fldCharType="begin"/>
          </w:r>
          <w:r>
            <w:instrText xml:space="preserve"> HYPERLINK \l "_Toc112070755" </w:instrText>
          </w:r>
          <w:r>
            <w:fldChar w:fldCharType="separate"/>
          </w:r>
          <w:r>
            <w:rPr>
              <w:rStyle w:val="13"/>
              <w:rFonts w:ascii="Times New Roman" w:hAnsi="Times New Roman" w:eastAsia="仿宋_GB2312" w:cs="Times New Roman"/>
              <w:spacing w:val="-4"/>
              <w:w w:val="105"/>
              <w:sz w:val="32"/>
              <w:szCs w:val="32"/>
              <w:lang w:eastAsia="zh-CN"/>
            </w:rPr>
            <w:t>三、综合评价情况及评价结论（附相关评分表）</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_Toc112070755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"_Toc112070756" </w:instrText>
          </w:r>
          <w:r>
            <w:fldChar w:fldCharType="separate"/>
          </w:r>
          <w:r>
            <w:rPr>
              <w:rStyle w:val="13"/>
              <w:rFonts w:ascii="Times New Roman" w:hAnsi="Times New Roman" w:eastAsia="仿宋_GB2312" w:cs="Times New Roman"/>
              <w:sz w:val="32"/>
              <w:szCs w:val="32"/>
              <w:lang w:eastAsia="zh-CN"/>
            </w:rPr>
            <w:t>（一）绩效评价指标综合得分情况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_Toc112070756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"_Toc112070757" </w:instrText>
          </w:r>
          <w:r>
            <w:fldChar w:fldCharType="separate"/>
          </w:r>
          <w:r>
            <w:rPr>
              <w:rStyle w:val="13"/>
              <w:rFonts w:ascii="Times New Roman" w:hAnsi="Times New Roman" w:eastAsia="仿宋_GB2312" w:cs="Times New Roman"/>
              <w:sz w:val="32"/>
              <w:szCs w:val="32"/>
              <w:lang w:eastAsia="zh-CN"/>
            </w:rPr>
            <w:t>（二）主要评价结论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_Toc112070757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8"/>
            <w:tabs>
              <w:tab w:val="right" w:leader="dot" w:pos="8296"/>
            </w:tabs>
            <w:rPr>
              <w:rFonts w:ascii="Times New Roman" w:hAnsi="Times New Roman" w:eastAsia="仿宋_GB2312" w:cs="Times New Roman"/>
              <w:kern w:val="2"/>
              <w:sz w:val="32"/>
              <w:szCs w:val="32"/>
              <w:lang w:eastAsia="zh-CN"/>
            </w:rPr>
          </w:pPr>
          <w:r>
            <w:fldChar w:fldCharType="begin"/>
          </w:r>
          <w:r>
            <w:instrText xml:space="preserve"> HYPERLINK \l "_Toc112070758" </w:instrText>
          </w:r>
          <w:r>
            <w:fldChar w:fldCharType="separate"/>
          </w:r>
          <w:r>
            <w:rPr>
              <w:rStyle w:val="13"/>
              <w:rFonts w:ascii="Times New Roman" w:hAnsi="Times New Roman" w:eastAsia="仿宋_GB2312" w:cs="Times New Roman"/>
              <w:spacing w:val="-4"/>
              <w:w w:val="105"/>
              <w:sz w:val="32"/>
              <w:szCs w:val="32"/>
              <w:lang w:eastAsia="zh-CN"/>
            </w:rPr>
            <w:t>四、绩效评价指标分析</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_Toc112070758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"_Toc112070759" </w:instrText>
          </w:r>
          <w:r>
            <w:fldChar w:fldCharType="separate"/>
          </w:r>
          <w:r>
            <w:rPr>
              <w:rStyle w:val="13"/>
              <w:rFonts w:ascii="Times New Roman" w:hAnsi="Times New Roman" w:eastAsia="仿宋_GB2312" w:cs="Times New Roman"/>
              <w:sz w:val="32"/>
              <w:szCs w:val="32"/>
              <w:lang w:eastAsia="zh-CN"/>
            </w:rPr>
            <w:t>（一）项目决策情况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_Toc112070759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12</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"_Toc112070760" </w:instrText>
          </w:r>
          <w:r>
            <w:fldChar w:fldCharType="separate"/>
          </w:r>
          <w:r>
            <w:rPr>
              <w:rStyle w:val="13"/>
              <w:rFonts w:ascii="Times New Roman" w:hAnsi="Times New Roman" w:eastAsia="仿宋_GB2312" w:cs="Times New Roman"/>
              <w:sz w:val="32"/>
              <w:szCs w:val="32"/>
              <w:lang w:eastAsia="zh-CN"/>
            </w:rPr>
            <w:t>（二）项目过程情况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_Toc112070760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18</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"_Toc112070761" </w:instrText>
          </w:r>
          <w:r>
            <w:fldChar w:fldCharType="separate"/>
          </w:r>
          <w:r>
            <w:rPr>
              <w:rStyle w:val="13"/>
              <w:rFonts w:ascii="Times New Roman" w:hAnsi="Times New Roman" w:eastAsia="仿宋_GB2312" w:cs="Times New Roman"/>
              <w:sz w:val="32"/>
              <w:szCs w:val="32"/>
              <w:lang w:eastAsia="zh-CN"/>
            </w:rPr>
            <w:t>（三）项目产出情况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_Toc112070761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"_Toc112070762" </w:instrText>
          </w:r>
          <w:r>
            <w:fldChar w:fldCharType="separate"/>
          </w:r>
          <w:r>
            <w:rPr>
              <w:rStyle w:val="13"/>
              <w:rFonts w:ascii="Times New Roman" w:hAnsi="Times New Roman" w:eastAsia="仿宋_GB2312" w:cs="Times New Roman"/>
              <w:sz w:val="32"/>
              <w:szCs w:val="32"/>
              <w:lang w:eastAsia="zh-CN"/>
            </w:rPr>
            <w:t>（四）项目效益情况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_Toc112070762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"_Toc112070763" </w:instrText>
          </w:r>
          <w:r>
            <w:fldChar w:fldCharType="separate"/>
          </w:r>
          <w:r>
            <w:rPr>
              <w:rStyle w:val="13"/>
              <w:rFonts w:ascii="Times New Roman" w:hAnsi="Times New Roman" w:eastAsia="仿宋_GB2312" w:cs="Times New Roman"/>
              <w:sz w:val="32"/>
              <w:szCs w:val="32"/>
              <w:lang w:eastAsia="zh-CN"/>
            </w:rPr>
            <w:t>（五）项目自评情况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_Toc112070763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8"/>
            <w:tabs>
              <w:tab w:val="right" w:leader="dot" w:pos="8296"/>
            </w:tabs>
            <w:rPr>
              <w:rFonts w:ascii="Times New Roman" w:hAnsi="Times New Roman" w:eastAsia="仿宋_GB2312" w:cs="Times New Roman"/>
              <w:kern w:val="2"/>
              <w:sz w:val="32"/>
              <w:szCs w:val="32"/>
              <w:lang w:eastAsia="zh-CN"/>
            </w:rPr>
          </w:pPr>
          <w:r>
            <w:fldChar w:fldCharType="begin"/>
          </w:r>
          <w:r>
            <w:instrText xml:space="preserve"> HYPERLINK \l "_Toc112070764" </w:instrText>
          </w:r>
          <w:r>
            <w:fldChar w:fldCharType="separate"/>
          </w:r>
          <w:r>
            <w:rPr>
              <w:rStyle w:val="13"/>
              <w:rFonts w:ascii="Times New Roman" w:hAnsi="Times New Roman" w:eastAsia="仿宋_GB2312" w:cs="Times New Roman"/>
              <w:spacing w:val="-4"/>
              <w:w w:val="105"/>
              <w:sz w:val="32"/>
              <w:szCs w:val="32"/>
              <w:lang w:eastAsia="zh-CN"/>
            </w:rPr>
            <w:t>五、主要经验及做法、存在的问题及原因分析</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_Toc112070764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27</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"_Toc112070765" </w:instrText>
          </w:r>
          <w:r>
            <w:fldChar w:fldCharType="separate"/>
          </w:r>
          <w:r>
            <w:rPr>
              <w:rStyle w:val="13"/>
              <w:rFonts w:ascii="Times New Roman" w:hAnsi="Times New Roman" w:eastAsia="仿宋_GB2312" w:cs="Times New Roman"/>
              <w:sz w:val="32"/>
              <w:szCs w:val="32"/>
              <w:lang w:eastAsia="zh-CN"/>
            </w:rPr>
            <w:t>（一）项目经验</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_Toc112070765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27</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"_Toc112070766" </w:instrText>
          </w:r>
          <w:r>
            <w:fldChar w:fldCharType="separate"/>
          </w:r>
          <w:r>
            <w:rPr>
              <w:rStyle w:val="13"/>
              <w:rFonts w:ascii="Times New Roman" w:hAnsi="Times New Roman" w:eastAsia="仿宋_GB2312" w:cs="Times New Roman"/>
              <w:sz w:val="32"/>
              <w:szCs w:val="32"/>
              <w:lang w:eastAsia="zh-CN"/>
            </w:rPr>
            <w:t>（二）存在问题及原因</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_Toc112070766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27</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8"/>
            <w:tabs>
              <w:tab w:val="right" w:leader="dot" w:pos="8296"/>
            </w:tabs>
            <w:rPr>
              <w:rFonts w:ascii="Times New Roman" w:hAnsi="Times New Roman" w:eastAsia="仿宋_GB2312" w:cs="Times New Roman"/>
              <w:kern w:val="2"/>
              <w:sz w:val="32"/>
              <w:szCs w:val="32"/>
              <w:lang w:eastAsia="zh-CN"/>
            </w:rPr>
          </w:pPr>
          <w:r>
            <w:fldChar w:fldCharType="begin"/>
          </w:r>
          <w:r>
            <w:instrText xml:space="preserve"> HYPERLINK \l "_Toc112070767" </w:instrText>
          </w:r>
          <w:r>
            <w:fldChar w:fldCharType="separate"/>
          </w:r>
          <w:r>
            <w:rPr>
              <w:rStyle w:val="13"/>
              <w:rFonts w:ascii="Times New Roman" w:hAnsi="Times New Roman" w:eastAsia="仿宋_GB2312" w:cs="Times New Roman"/>
              <w:spacing w:val="-4"/>
              <w:w w:val="105"/>
              <w:sz w:val="32"/>
              <w:szCs w:val="32"/>
              <w:lang w:eastAsia="zh-CN"/>
            </w:rPr>
            <w:t>六、有关建议</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_Toc112070767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28</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kern w:val="2"/>
              <w:sz w:val="21"/>
              <w:lang w:eastAsia="zh-CN"/>
            </w:rPr>
          </w:pPr>
          <w:r>
            <w:fldChar w:fldCharType="begin"/>
          </w:r>
          <w:r>
            <w:instrText xml:space="preserve"> HYPERLINK \l "_Toc112070768" </w:instrText>
          </w:r>
          <w:r>
            <w:fldChar w:fldCharType="separate"/>
          </w:r>
          <w:r>
            <w:rPr>
              <w:rStyle w:val="13"/>
              <w:rFonts w:ascii="Times New Roman" w:hAnsi="Times New Roman" w:eastAsia="仿宋_GB2312" w:cs="Times New Roman"/>
              <w:sz w:val="32"/>
              <w:szCs w:val="32"/>
              <w:lang w:eastAsia="zh-CN"/>
            </w:rPr>
            <w:t>（一）制定业务管理制度，加强执行监管</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_Toc112070768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28</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8"/>
            <w:tabs>
              <w:tab w:val="right" w:leader="dot" w:pos="8296"/>
            </w:tabs>
            <w:rPr>
              <w:rFonts w:ascii="Times New Roman" w:hAnsi="Times New Roman" w:eastAsia="仿宋_GB2312" w:cs="Times New Roman"/>
              <w:kern w:val="2"/>
              <w:sz w:val="32"/>
              <w:szCs w:val="32"/>
              <w:lang w:eastAsia="zh-CN"/>
            </w:rPr>
          </w:pPr>
          <w:r>
            <w:rPr>
              <w:rFonts w:ascii="Times New Roman" w:hAnsi="Times New Roman" w:eastAsia="仿宋_GB2312" w:cs="Times New Roman"/>
              <w:sz w:val="32"/>
              <w:szCs w:val="32"/>
            </w:rPr>
            <w:fldChar w:fldCharType="end"/>
          </w:r>
        </w:p>
      </w:sdtContent>
    </w:sdt>
    <w:p>
      <w:pPr>
        <w:spacing w:line="600" w:lineRule="auto"/>
        <w:jc w:val="center"/>
        <w:rPr>
          <w:rFonts w:ascii="Times New Roman" w:hAnsi="Times New Roman" w:cs="Times New Roman"/>
          <w:b/>
          <w:sz w:val="44"/>
          <w:szCs w:val="44"/>
          <w:lang w:eastAsia="zh-CN"/>
        </w:rPr>
        <w:sectPr>
          <w:footerReference r:id="rId4" w:type="default"/>
          <w:pgSz w:w="11906" w:h="16838"/>
          <w:pgMar w:top="1440" w:right="1800" w:bottom="1440" w:left="1800" w:header="851" w:footer="992" w:gutter="0"/>
          <w:pgNumType w:fmt="upperRoman" w:start="1"/>
          <w:cols w:space="720" w:num="1"/>
          <w:docGrid w:type="lines" w:linePitch="312" w:charSpace="0"/>
        </w:sectPr>
      </w:pPr>
    </w:p>
    <w:p>
      <w:pPr>
        <w:spacing w:line="300" w:lineRule="auto"/>
        <w:jc w:val="center"/>
        <w:outlineLvl w:val="0"/>
        <w:rPr>
          <w:rFonts w:ascii="Times New Roman" w:hAnsi="Times New Roman" w:eastAsia="黑体" w:cs="Times New Roman"/>
          <w:sz w:val="32"/>
          <w:szCs w:val="32"/>
          <w:lang w:eastAsia="zh-CN"/>
        </w:rPr>
      </w:pPr>
      <w:bookmarkStart w:id="0" w:name="_Toc112070748"/>
      <w:r>
        <w:rPr>
          <w:rFonts w:ascii="Times New Roman" w:hAnsi="Times New Roman" w:eastAsia="黑体" w:cs="Times New Roman"/>
          <w:spacing w:val="-4"/>
          <w:w w:val="105"/>
          <w:sz w:val="32"/>
          <w:szCs w:val="32"/>
          <w:lang w:eastAsia="zh-CN"/>
        </w:rPr>
        <w:t>一、基本情况</w:t>
      </w:r>
      <w:bookmarkEnd w:id="0"/>
    </w:p>
    <w:p>
      <w:pPr>
        <w:spacing w:line="300" w:lineRule="auto"/>
        <w:jc w:val="both"/>
        <w:outlineLvl w:val="1"/>
        <w:rPr>
          <w:rFonts w:ascii="Times New Roman" w:hAnsi="Times New Roman" w:eastAsia="仿宋_GB2312" w:cs="Times New Roman"/>
          <w:b/>
          <w:sz w:val="32"/>
          <w:szCs w:val="32"/>
          <w:lang w:eastAsia="zh-CN"/>
        </w:rPr>
      </w:pPr>
      <w:bookmarkStart w:id="1" w:name="_Toc112070749"/>
      <w:r>
        <w:rPr>
          <w:rFonts w:ascii="Times New Roman" w:hAnsi="Times New Roman" w:eastAsia="仿宋_GB2312" w:cs="Times New Roman"/>
          <w:b/>
          <w:sz w:val="32"/>
          <w:szCs w:val="32"/>
          <w:lang w:eastAsia="zh-CN"/>
        </w:rPr>
        <w:t>（一）项目概况</w:t>
      </w:r>
      <w:bookmarkEnd w:id="1"/>
    </w:p>
    <w:p>
      <w:pPr>
        <w:spacing w:line="300" w:lineRule="auto"/>
        <w:jc w:val="both"/>
        <w:outlineLvl w:val="2"/>
        <w:rPr>
          <w:rFonts w:ascii="Times New Roman" w:hAnsi="Times New Roman" w:eastAsia="仿宋_GB2312" w:cs="Times New Roman"/>
          <w:b/>
          <w:sz w:val="32"/>
          <w:szCs w:val="32"/>
          <w:lang w:eastAsia="zh-CN"/>
        </w:rPr>
      </w:pPr>
      <w:bookmarkStart w:id="2" w:name="_Toc63706242"/>
      <w:bookmarkStart w:id="3" w:name="_Toc460413862"/>
      <w:bookmarkStart w:id="4" w:name="_Toc107933379"/>
      <w:bookmarkStart w:id="5" w:name="_Toc83563107"/>
      <w:r>
        <w:rPr>
          <w:rFonts w:ascii="Times New Roman" w:hAnsi="Times New Roman" w:eastAsia="仿宋_GB2312" w:cs="Times New Roman"/>
          <w:b/>
          <w:sz w:val="32"/>
          <w:szCs w:val="32"/>
          <w:lang w:eastAsia="zh-CN"/>
        </w:rPr>
        <w:t>1.项目背景</w:t>
      </w:r>
      <w:bookmarkEnd w:id="2"/>
      <w:bookmarkEnd w:id="3"/>
      <w:bookmarkEnd w:id="4"/>
      <w:bookmarkEnd w:id="5"/>
    </w:p>
    <w:p>
      <w:pPr>
        <w:spacing w:line="300" w:lineRule="auto"/>
        <w:ind w:firstLine="640" w:firstLineChars="200"/>
        <w:jc w:val="both"/>
        <w:rPr>
          <w:rFonts w:ascii="Times New Roman" w:hAnsi="Times New Roman" w:eastAsia="仿宋_GB2312" w:cs="Times New Roman"/>
          <w:sz w:val="32"/>
          <w:szCs w:val="32"/>
          <w:lang w:eastAsia="zh-CN"/>
        </w:rPr>
      </w:pPr>
      <w:bookmarkStart w:id="6" w:name="_Toc460413863"/>
      <w:r>
        <w:rPr>
          <w:rFonts w:hint="eastAsia" w:ascii="Times New Roman" w:hAnsi="Times New Roman" w:eastAsia="仿宋_GB2312" w:cs="Times New Roman"/>
          <w:sz w:val="32"/>
          <w:szCs w:val="32"/>
          <w:lang w:eastAsia="zh-CN"/>
        </w:rPr>
        <w:t>按照天津市委和市政府《关于进一步加强食品安全工作的措施》（津党发〔2020〕3号）、天津市人民政府办公厅《天津市2021年食品安全监督管理计划》（津政办发〔2021〕17号）、《滨海新区2021年食品安全攻坚行动实施方案》，要求组建专职食品安全协管员队伍的要求，为进一步以更高标准完成东疆保税港区食品安全监督检查、食品安全宣传等相关工作，经管委会同意，东疆市场局委托第三方协助开展食品安全协管工作。</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同时，为建立健全东疆保税港区应对食品安全事故应急处置运行机制，指导和规范东疆保税港区食品安全事故应急处置工作，提高应急处置能力，有效预防、积极应对、及时控制食品安全事故，高效组织应急救援工作，最大限度地减少食品安全事故的危害，保障公众生命安全与身体健康，维护公共安全和社会稳定，编制天津东疆保税港区食品安全事故应急预案。</w:t>
      </w:r>
    </w:p>
    <w:p>
      <w:pPr>
        <w:spacing w:line="300" w:lineRule="auto"/>
        <w:jc w:val="both"/>
        <w:outlineLvl w:val="2"/>
        <w:rPr>
          <w:rFonts w:ascii="Times New Roman" w:hAnsi="Times New Roman" w:eastAsia="仿宋_GB2312" w:cs="Times New Roman"/>
          <w:b/>
          <w:sz w:val="32"/>
          <w:szCs w:val="32"/>
          <w:lang w:eastAsia="zh-CN"/>
        </w:rPr>
      </w:pPr>
      <w:bookmarkStart w:id="7" w:name="_Toc107933380"/>
      <w:bookmarkStart w:id="8" w:name="_Toc83563108"/>
      <w:bookmarkStart w:id="9" w:name="_Toc63706243"/>
      <w:r>
        <w:rPr>
          <w:rFonts w:ascii="Times New Roman" w:hAnsi="Times New Roman" w:eastAsia="仿宋_GB2312" w:cs="Times New Roman"/>
          <w:b/>
          <w:sz w:val="32"/>
          <w:szCs w:val="32"/>
          <w:lang w:eastAsia="zh-CN"/>
        </w:rPr>
        <w:t>2.项目基本情况</w:t>
      </w:r>
      <w:bookmarkEnd w:id="6"/>
      <w:bookmarkEnd w:id="7"/>
      <w:bookmarkEnd w:id="8"/>
      <w:bookmarkEnd w:id="9"/>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（1）项目名称及实施单位</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项目名称</w:t>
      </w:r>
      <w:r>
        <w:rPr>
          <w:rFonts w:hint="eastAsia" w:ascii="Times New Roman" w:hAnsi="Times New Roman" w:eastAsia="仿宋_GB2312" w:cs="Times New Roman"/>
          <w:sz w:val="32"/>
          <w:szCs w:val="32"/>
          <w:lang w:eastAsia="zh-CN"/>
        </w:rPr>
        <w:t>：食品安全委员会工作经费</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实施单位：</w:t>
      </w:r>
      <w:r>
        <w:rPr>
          <w:rFonts w:hint="eastAsia" w:ascii="Times New Roman" w:hAnsi="Times New Roman" w:eastAsia="仿宋_GB2312" w:cs="Times New Roman"/>
          <w:sz w:val="32"/>
          <w:szCs w:val="32"/>
          <w:lang w:eastAsia="zh-CN"/>
        </w:rPr>
        <w:t>天津东疆保税港区市场监督管理局（以下简称：“市场局”）。</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实施地址：天津东疆保税港区。</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（2）项目简介</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1）项目类型</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本项目支出功能分类科目为：一般公共服务支出-市场监督管理事务-一般行政管理事务（201-38-02）。</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2）主要内容和规模</w:t>
      </w:r>
    </w:p>
    <w:p>
      <w:pPr>
        <w:spacing w:line="300" w:lineRule="auto"/>
        <w:ind w:firstLine="640" w:firstLineChars="200"/>
        <w:jc w:val="both"/>
        <w:rPr>
          <w:rFonts w:ascii="Times New Roman" w:hAnsi="Times New Roman" w:eastAsia="仿宋_GB2312" w:cs="Times New Roman"/>
          <w:kern w:val="2"/>
          <w:sz w:val="32"/>
          <w:szCs w:val="32"/>
          <w:lang w:eastAsia="zh-CN"/>
        </w:rPr>
      </w:pPr>
      <w:r>
        <w:rPr>
          <w:rFonts w:hint="eastAsia" w:ascii="Times New Roman" w:hAnsi="Times New Roman" w:eastAsia="仿宋_GB2312" w:cs="Times New Roman"/>
          <w:kern w:val="2"/>
          <w:sz w:val="32"/>
          <w:szCs w:val="32"/>
          <w:lang w:eastAsia="zh-CN"/>
        </w:rPr>
        <w:t>食品安全委员会工作经费包括：食品安全协管服务、应急预案编制、食安办日常工作经费等项目。</w:t>
      </w:r>
    </w:p>
    <w:p>
      <w:pPr>
        <w:spacing w:line="300" w:lineRule="auto"/>
        <w:ind w:firstLine="640" w:firstLineChars="200"/>
        <w:jc w:val="both"/>
        <w:rPr>
          <w:rFonts w:ascii="Times New Roman" w:hAnsi="Times New Roman" w:eastAsia="仿宋_GB2312" w:cs="Times New Roman"/>
          <w:kern w:val="2"/>
          <w:sz w:val="32"/>
          <w:szCs w:val="32"/>
          <w:lang w:eastAsia="zh-CN"/>
        </w:rPr>
      </w:pPr>
      <w:r>
        <w:rPr>
          <w:rFonts w:ascii="Times New Roman" w:hAnsi="Times New Roman" w:eastAsia="仿宋_GB2312" w:cs="Times New Roman"/>
          <w:kern w:val="2"/>
          <w:sz w:val="32"/>
          <w:szCs w:val="32"/>
          <w:lang w:eastAsia="zh-CN"/>
        </w:rPr>
        <w:fldChar w:fldCharType="begin"/>
      </w:r>
      <w:r>
        <w:rPr>
          <w:rFonts w:ascii="Times New Roman" w:hAnsi="Times New Roman" w:eastAsia="仿宋_GB2312" w:cs="Times New Roman"/>
          <w:kern w:val="2"/>
          <w:sz w:val="32"/>
          <w:szCs w:val="32"/>
          <w:lang w:eastAsia="zh-CN"/>
        </w:rPr>
        <w:instrText xml:space="preserve"> </w:instrText>
      </w:r>
      <w:r>
        <w:rPr>
          <w:rFonts w:hint="eastAsia" w:ascii="Times New Roman" w:hAnsi="Times New Roman" w:eastAsia="仿宋_GB2312" w:cs="Times New Roman"/>
          <w:kern w:val="2"/>
          <w:sz w:val="32"/>
          <w:szCs w:val="32"/>
          <w:lang w:eastAsia="zh-CN"/>
        </w:rPr>
        <w:instrText xml:space="preserve">= 1 \* GB3</w:instrText>
      </w:r>
      <w:r>
        <w:rPr>
          <w:rFonts w:ascii="Times New Roman" w:hAnsi="Times New Roman" w:eastAsia="仿宋_GB2312" w:cs="Times New Roman"/>
          <w:kern w:val="2"/>
          <w:sz w:val="32"/>
          <w:szCs w:val="32"/>
          <w:lang w:eastAsia="zh-CN"/>
        </w:rPr>
        <w:instrText xml:space="preserve"> </w:instrText>
      </w:r>
      <w:r>
        <w:rPr>
          <w:rFonts w:ascii="Times New Roman" w:hAnsi="Times New Roman" w:eastAsia="仿宋_GB2312" w:cs="Times New Roman"/>
          <w:kern w:val="2"/>
          <w:sz w:val="32"/>
          <w:szCs w:val="32"/>
          <w:lang w:eastAsia="zh-CN"/>
        </w:rPr>
        <w:fldChar w:fldCharType="separate"/>
      </w:r>
      <w:r>
        <w:rPr>
          <w:rFonts w:hint="eastAsia" w:ascii="Times New Roman" w:hAnsi="Times New Roman" w:eastAsia="仿宋_GB2312" w:cs="Times New Roman"/>
          <w:kern w:val="2"/>
          <w:sz w:val="32"/>
          <w:szCs w:val="32"/>
          <w:lang w:eastAsia="zh-CN"/>
        </w:rPr>
        <w:t>①</w:t>
      </w:r>
      <w:r>
        <w:rPr>
          <w:rFonts w:ascii="Times New Roman" w:hAnsi="Times New Roman" w:eastAsia="仿宋_GB2312" w:cs="Times New Roman"/>
          <w:kern w:val="2"/>
          <w:sz w:val="32"/>
          <w:szCs w:val="32"/>
          <w:lang w:eastAsia="zh-CN"/>
        </w:rPr>
        <w:fldChar w:fldCharType="end"/>
      </w:r>
      <w:r>
        <w:rPr>
          <w:rFonts w:hint="eastAsia" w:ascii="Times New Roman" w:hAnsi="Times New Roman" w:eastAsia="仿宋_GB2312" w:cs="Times New Roman"/>
          <w:kern w:val="2"/>
          <w:sz w:val="32"/>
          <w:szCs w:val="32"/>
          <w:lang w:eastAsia="zh-CN"/>
        </w:rPr>
        <w:t>食品安全协管服务：委托第三方协助开展食品安全协管工作。</w:t>
      </w:r>
    </w:p>
    <w:p>
      <w:pPr>
        <w:spacing w:line="300" w:lineRule="auto"/>
        <w:ind w:firstLine="640" w:firstLineChars="200"/>
        <w:jc w:val="both"/>
        <w:rPr>
          <w:rFonts w:ascii="Times New Roman" w:hAnsi="Times New Roman" w:eastAsia="仿宋_GB2312" w:cs="Times New Roman"/>
          <w:kern w:val="2"/>
          <w:sz w:val="32"/>
          <w:szCs w:val="32"/>
          <w:lang w:eastAsia="zh-CN"/>
        </w:rPr>
      </w:pPr>
      <w:r>
        <w:rPr>
          <w:rFonts w:ascii="Times New Roman" w:hAnsi="Times New Roman" w:eastAsia="仿宋_GB2312" w:cs="Times New Roman"/>
          <w:kern w:val="2"/>
          <w:sz w:val="32"/>
          <w:szCs w:val="32"/>
          <w:lang w:eastAsia="zh-CN"/>
        </w:rPr>
        <w:fldChar w:fldCharType="begin"/>
      </w:r>
      <w:r>
        <w:rPr>
          <w:rFonts w:ascii="Times New Roman" w:hAnsi="Times New Roman" w:eastAsia="仿宋_GB2312" w:cs="Times New Roman"/>
          <w:kern w:val="2"/>
          <w:sz w:val="32"/>
          <w:szCs w:val="32"/>
          <w:lang w:eastAsia="zh-CN"/>
        </w:rPr>
        <w:instrText xml:space="preserve"> </w:instrText>
      </w:r>
      <w:r>
        <w:rPr>
          <w:rFonts w:hint="eastAsia" w:ascii="Times New Roman" w:hAnsi="Times New Roman" w:eastAsia="仿宋_GB2312" w:cs="Times New Roman"/>
          <w:kern w:val="2"/>
          <w:sz w:val="32"/>
          <w:szCs w:val="32"/>
          <w:lang w:eastAsia="zh-CN"/>
        </w:rPr>
        <w:instrText xml:space="preserve">= 2 \* GB3</w:instrText>
      </w:r>
      <w:r>
        <w:rPr>
          <w:rFonts w:ascii="Times New Roman" w:hAnsi="Times New Roman" w:eastAsia="仿宋_GB2312" w:cs="Times New Roman"/>
          <w:kern w:val="2"/>
          <w:sz w:val="32"/>
          <w:szCs w:val="32"/>
          <w:lang w:eastAsia="zh-CN"/>
        </w:rPr>
        <w:instrText xml:space="preserve"> </w:instrText>
      </w:r>
      <w:r>
        <w:rPr>
          <w:rFonts w:ascii="Times New Roman" w:hAnsi="Times New Roman" w:eastAsia="仿宋_GB2312" w:cs="Times New Roman"/>
          <w:kern w:val="2"/>
          <w:sz w:val="32"/>
          <w:szCs w:val="32"/>
          <w:lang w:eastAsia="zh-CN"/>
        </w:rPr>
        <w:fldChar w:fldCharType="separate"/>
      </w:r>
      <w:r>
        <w:rPr>
          <w:rFonts w:hint="eastAsia" w:ascii="Times New Roman" w:hAnsi="Times New Roman" w:eastAsia="仿宋_GB2312" w:cs="Times New Roman"/>
          <w:kern w:val="2"/>
          <w:sz w:val="32"/>
          <w:szCs w:val="32"/>
          <w:lang w:eastAsia="zh-CN"/>
        </w:rPr>
        <w:t>②</w:t>
      </w:r>
      <w:r>
        <w:rPr>
          <w:rFonts w:ascii="Times New Roman" w:hAnsi="Times New Roman" w:eastAsia="仿宋_GB2312" w:cs="Times New Roman"/>
          <w:kern w:val="2"/>
          <w:sz w:val="32"/>
          <w:szCs w:val="32"/>
          <w:lang w:eastAsia="zh-CN"/>
        </w:rPr>
        <w:fldChar w:fldCharType="end"/>
      </w:r>
      <w:r>
        <w:rPr>
          <w:rFonts w:hint="eastAsia" w:ascii="Times New Roman" w:hAnsi="Times New Roman" w:eastAsia="仿宋_GB2312" w:cs="Times New Roman"/>
          <w:kern w:val="2"/>
          <w:sz w:val="32"/>
          <w:szCs w:val="32"/>
          <w:lang w:eastAsia="zh-CN"/>
        </w:rPr>
        <w:t>应急预案编制：委托第三方专业单位，编制食品安全突发事件应急预案，应急演练方案，开展食品应急演练（桌面推演）。</w:t>
      </w:r>
    </w:p>
    <w:p>
      <w:pPr>
        <w:spacing w:line="300" w:lineRule="auto"/>
        <w:ind w:firstLine="640" w:firstLineChars="200"/>
        <w:jc w:val="both"/>
        <w:rPr>
          <w:rFonts w:ascii="Times New Roman" w:hAnsi="Times New Roman" w:eastAsia="仿宋_GB2312" w:cs="Times New Roman"/>
          <w:kern w:val="2"/>
          <w:sz w:val="32"/>
          <w:szCs w:val="32"/>
          <w:lang w:eastAsia="zh-CN"/>
        </w:rPr>
      </w:pPr>
      <w:r>
        <w:rPr>
          <w:rFonts w:ascii="Times New Roman" w:hAnsi="Times New Roman" w:eastAsia="仿宋_GB2312" w:cs="Times New Roman"/>
          <w:kern w:val="2"/>
          <w:sz w:val="32"/>
          <w:szCs w:val="32"/>
          <w:lang w:eastAsia="zh-CN"/>
        </w:rPr>
        <w:fldChar w:fldCharType="begin"/>
      </w:r>
      <w:r>
        <w:rPr>
          <w:rFonts w:ascii="Times New Roman" w:hAnsi="Times New Roman" w:eastAsia="仿宋_GB2312" w:cs="Times New Roman"/>
          <w:kern w:val="2"/>
          <w:sz w:val="32"/>
          <w:szCs w:val="32"/>
          <w:lang w:eastAsia="zh-CN"/>
        </w:rPr>
        <w:instrText xml:space="preserve"> </w:instrText>
      </w:r>
      <w:r>
        <w:rPr>
          <w:rFonts w:hint="eastAsia" w:ascii="Times New Roman" w:hAnsi="Times New Roman" w:eastAsia="仿宋_GB2312" w:cs="Times New Roman"/>
          <w:kern w:val="2"/>
          <w:sz w:val="32"/>
          <w:szCs w:val="32"/>
          <w:lang w:eastAsia="zh-CN"/>
        </w:rPr>
        <w:instrText xml:space="preserve">= 3 \* GB3</w:instrText>
      </w:r>
      <w:r>
        <w:rPr>
          <w:rFonts w:ascii="Times New Roman" w:hAnsi="Times New Roman" w:eastAsia="仿宋_GB2312" w:cs="Times New Roman"/>
          <w:kern w:val="2"/>
          <w:sz w:val="32"/>
          <w:szCs w:val="32"/>
          <w:lang w:eastAsia="zh-CN"/>
        </w:rPr>
        <w:instrText xml:space="preserve"> </w:instrText>
      </w:r>
      <w:r>
        <w:rPr>
          <w:rFonts w:ascii="Times New Roman" w:hAnsi="Times New Roman" w:eastAsia="仿宋_GB2312" w:cs="Times New Roman"/>
          <w:kern w:val="2"/>
          <w:sz w:val="32"/>
          <w:szCs w:val="32"/>
          <w:lang w:eastAsia="zh-CN"/>
        </w:rPr>
        <w:fldChar w:fldCharType="separate"/>
      </w:r>
      <w:r>
        <w:rPr>
          <w:rFonts w:hint="eastAsia" w:ascii="Times New Roman" w:hAnsi="Times New Roman" w:eastAsia="仿宋_GB2312" w:cs="Times New Roman"/>
          <w:kern w:val="2"/>
          <w:sz w:val="32"/>
          <w:szCs w:val="32"/>
          <w:lang w:eastAsia="zh-CN"/>
        </w:rPr>
        <w:t>③</w:t>
      </w:r>
      <w:r>
        <w:rPr>
          <w:rFonts w:ascii="Times New Roman" w:hAnsi="Times New Roman" w:eastAsia="仿宋_GB2312" w:cs="Times New Roman"/>
          <w:kern w:val="2"/>
          <w:sz w:val="32"/>
          <w:szCs w:val="32"/>
          <w:lang w:eastAsia="zh-CN"/>
        </w:rPr>
        <w:fldChar w:fldCharType="end"/>
      </w:r>
      <w:r>
        <w:rPr>
          <w:rFonts w:hint="eastAsia" w:ascii="Times New Roman" w:hAnsi="Times New Roman" w:eastAsia="仿宋_GB2312" w:cs="Times New Roman"/>
          <w:kern w:val="2"/>
          <w:sz w:val="32"/>
          <w:szCs w:val="32"/>
          <w:lang w:eastAsia="zh-CN"/>
        </w:rPr>
        <w:t>食安办日常工作经费：委托第三方服务公司，制作宣传栏、宣传牌等设施，开展宣传活动，制作宣传物品，用于张贴、发放等。</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3）项目资金使用及管理情况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2021年全年预算为615000元，其中：食品安全协管服务315000元，应急预案编制200000元，食安办日常工作经费100000元。全年实际支出449952元，其中：食品安全协管服务311600元，应急预案编修59980元，食安办日常工作经费78372元。资金到位率为100%，预算执行率为73.16%。</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4）立项审批程序</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食品安全协管服务：2021年7月，项目实施单位申报的《关于组建专职食品安全协管员队伍的请示》（津东疆市场报[2021]7号）经管委会领导批示，同意实施该项目。</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应急预案编制：根据天津东疆保税港区突发事件应急委员会办公室《关于进一步加强应急预案编修工作的通知》的要求，依据《天津东疆保税港区突发事件总体应急预案》编制食品安全突发事件应急预案。</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食安办日常工作经费：根据《滨海新区国家食品安全示范区创建实施方案》和《滨海新区国家农产品质量安全区创建实施方案》等有关文件要求实施。</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本项目为项目实施单位进行部门中期预算调整时增加，未列入年初预算。</w:t>
      </w:r>
    </w:p>
    <w:p>
      <w:pPr>
        <w:spacing w:line="300" w:lineRule="auto"/>
        <w:ind w:firstLine="640" w:firstLineChars="200"/>
        <w:jc w:val="both"/>
        <w:rPr>
          <w:rFonts w:ascii="Times New Roman" w:hAnsi="Times New Roman" w:eastAsia="仿宋_GB2312" w:cs="Times New Roman"/>
          <w:kern w:val="2"/>
          <w:sz w:val="32"/>
          <w:szCs w:val="32"/>
          <w:lang w:eastAsia="zh-CN"/>
        </w:rPr>
      </w:pPr>
      <w:r>
        <w:rPr>
          <w:rFonts w:hint="eastAsia" w:ascii="Times New Roman" w:hAnsi="Times New Roman" w:eastAsia="仿宋_GB2312" w:cs="Times New Roman"/>
          <w:sz w:val="32"/>
          <w:szCs w:val="32"/>
          <w:lang w:eastAsia="zh-CN"/>
        </w:rPr>
        <w:t>2021年10月，项目实施单位申报了2021年度部门中期调整预算，并于2021年10月19日获得天津东疆保税港区财政局（以下简称“财政局”）批复（津东疆财预指[2021]31号），该项目2021年预算为615000元。</w:t>
      </w:r>
    </w:p>
    <w:p>
      <w:pPr>
        <w:spacing w:line="300" w:lineRule="auto"/>
        <w:jc w:val="both"/>
        <w:outlineLvl w:val="1"/>
        <w:rPr>
          <w:rFonts w:ascii="Times New Roman" w:hAnsi="Times New Roman" w:eastAsia="仿宋_GB2312" w:cs="Times New Roman"/>
          <w:b/>
          <w:sz w:val="32"/>
          <w:szCs w:val="32"/>
          <w:lang w:eastAsia="zh-CN"/>
        </w:rPr>
      </w:pPr>
      <w:bookmarkStart w:id="10" w:name="_Toc112070750"/>
      <w:r>
        <w:rPr>
          <w:rFonts w:ascii="Times New Roman" w:hAnsi="Times New Roman" w:eastAsia="仿宋_GB2312" w:cs="Times New Roman"/>
          <w:b/>
          <w:sz w:val="32"/>
          <w:szCs w:val="32"/>
          <w:lang w:eastAsia="zh-CN"/>
        </w:rPr>
        <w:t>（二）项目绩效目标</w:t>
      </w:r>
      <w:bookmarkEnd w:id="10"/>
    </w:p>
    <w:p>
      <w:pPr>
        <w:spacing w:line="300" w:lineRule="auto"/>
        <w:ind w:firstLine="640" w:firstLineChars="200"/>
        <w:jc w:val="both"/>
        <w:rPr>
          <w:rFonts w:ascii="Times New Roman" w:hAnsi="Times New Roman" w:eastAsia="仿宋_GB2312"/>
          <w:sz w:val="32"/>
          <w:szCs w:val="32"/>
          <w:lang w:eastAsia="zh-CN"/>
        </w:rPr>
      </w:pPr>
      <w:bookmarkStart w:id="11" w:name="_Toc460413866"/>
      <w:r>
        <w:rPr>
          <w:rFonts w:hint="eastAsia" w:ascii="Times New Roman" w:hAnsi="Times New Roman" w:eastAsia="仿宋_GB2312"/>
          <w:sz w:val="32"/>
          <w:szCs w:val="32"/>
          <w:lang w:eastAsia="zh-CN"/>
        </w:rPr>
        <w:t>（1）项目绩效总目标：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目标1：贯彻落实天津市应急预案体系建设会议精神和新区关于应急预案编修等工作要求，进行食品安全突发事件应急预案编制，进一步提高对突发事件的处置能力；</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目标2：通过向第三方公司购买食品安全协管服务，进一步提高执法水平和管理水平；</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目标3：通过开展创城创卫宣传，提高群众知晓率。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（1）数量指标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编制食品安全、药品器械应急预案≥1项；</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检查辖区食品经营者覆盖率≥100%。</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（2）质量指标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预案编制合理性：内容详实、具有可操作性；</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宣传覆盖率≥80%。</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（3）时效指标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按时完成预案编制：2021年11月30日前完成；</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根据要求完成工作：2021年底前按时完成。</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（4）成本指标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服务费用≤61.5万元。</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（5）效益指标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有效提升突发事件处置能力；</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提升食品安全宣传氛围。</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（6）满意度指标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人员满意度≥95%。</w:t>
      </w:r>
      <w:bookmarkEnd w:id="11"/>
    </w:p>
    <w:p>
      <w:pPr>
        <w:spacing w:line="600" w:lineRule="exact"/>
        <w:ind w:firstLine="656" w:firstLineChars="200"/>
        <w:jc w:val="both"/>
        <w:rPr>
          <w:rFonts w:ascii="Times New Roman" w:hAnsi="Times New Roman" w:eastAsia="黑体" w:cs="Times New Roman"/>
          <w:spacing w:val="-4"/>
          <w:w w:val="105"/>
          <w:sz w:val="32"/>
          <w:szCs w:val="32"/>
          <w:highlight w:val="yellow"/>
          <w:lang w:eastAsia="zh-CN"/>
        </w:rPr>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pPr>
    </w:p>
    <w:p>
      <w:pPr>
        <w:spacing w:line="300" w:lineRule="auto"/>
        <w:jc w:val="center"/>
        <w:outlineLvl w:val="0"/>
        <w:rPr>
          <w:rFonts w:ascii="Times New Roman" w:hAnsi="Times New Roman" w:eastAsia="黑体" w:cs="Times New Roman"/>
          <w:spacing w:val="-4"/>
          <w:w w:val="105"/>
          <w:sz w:val="32"/>
          <w:szCs w:val="32"/>
          <w:lang w:eastAsia="zh-CN"/>
        </w:rPr>
      </w:pPr>
      <w:bookmarkStart w:id="12" w:name="_Toc112070751"/>
      <w:r>
        <w:rPr>
          <w:rFonts w:ascii="Times New Roman" w:hAnsi="Times New Roman" w:eastAsia="黑体" w:cs="Times New Roman"/>
          <w:spacing w:val="-4"/>
          <w:w w:val="105"/>
          <w:sz w:val="32"/>
          <w:szCs w:val="32"/>
          <w:lang w:eastAsia="zh-CN"/>
        </w:rPr>
        <w:t>二、绩效评价工作开展情况</w:t>
      </w:r>
      <w:bookmarkEnd w:id="12"/>
    </w:p>
    <w:p>
      <w:pPr>
        <w:spacing w:line="300" w:lineRule="auto"/>
        <w:jc w:val="both"/>
        <w:outlineLvl w:val="1"/>
        <w:rPr>
          <w:rFonts w:ascii="Times New Roman" w:hAnsi="Times New Roman" w:eastAsia="仿宋_GB2312" w:cs="Times New Roman"/>
          <w:b/>
          <w:sz w:val="32"/>
          <w:szCs w:val="32"/>
          <w:lang w:eastAsia="zh-CN"/>
        </w:rPr>
      </w:pPr>
      <w:bookmarkStart w:id="13" w:name="_Toc112070752"/>
      <w:r>
        <w:rPr>
          <w:rFonts w:hint="eastAsia" w:ascii="Times New Roman" w:hAnsi="Times New Roman" w:eastAsia="仿宋_GB2312" w:cs="Times New Roman"/>
          <w:b/>
          <w:sz w:val="32"/>
          <w:szCs w:val="32"/>
          <w:lang w:eastAsia="zh-CN"/>
        </w:rPr>
        <w:t>（一）</w:t>
      </w:r>
      <w:r>
        <w:rPr>
          <w:rFonts w:ascii="Times New Roman" w:hAnsi="Times New Roman" w:eastAsia="仿宋_GB2312" w:cs="Times New Roman"/>
          <w:b/>
          <w:sz w:val="32"/>
          <w:szCs w:val="32"/>
          <w:lang w:eastAsia="zh-CN"/>
        </w:rPr>
        <w:t>绩效评价目的</w:t>
      </w:r>
      <w:r>
        <w:rPr>
          <w:rFonts w:hint="eastAsia" w:ascii="Times New Roman" w:hAnsi="Times New Roman" w:eastAsia="仿宋_GB2312" w:cs="Times New Roman"/>
          <w:b/>
          <w:sz w:val="32"/>
          <w:szCs w:val="32"/>
          <w:lang w:eastAsia="zh-CN"/>
        </w:rPr>
        <w:t>、对象和范围</w:t>
      </w:r>
      <w:bookmarkEnd w:id="13"/>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14" w:name="_Toc83563112"/>
      <w:bookmarkStart w:id="15" w:name="_Toc107933384"/>
      <w:bookmarkStart w:id="16" w:name="_Toc63706247"/>
      <w:r>
        <w:rPr>
          <w:rFonts w:hint="eastAsia" w:ascii="Times New Roman" w:hAnsi="Times New Roman" w:eastAsia="仿宋_GB2312"/>
          <w:b/>
          <w:sz w:val="32"/>
          <w:szCs w:val="32"/>
          <w:lang w:eastAsia="zh-CN"/>
        </w:rPr>
        <w:t>1.绩效评价目的</w:t>
      </w:r>
      <w:bookmarkEnd w:id="14"/>
      <w:bookmarkEnd w:id="15"/>
      <w:bookmarkEnd w:id="16"/>
    </w:p>
    <w:p>
      <w:pPr>
        <w:widowControl/>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17" w:name="_Toc83563113"/>
      <w:bookmarkStart w:id="18" w:name="_Toc107933385"/>
      <w:bookmarkStart w:id="19" w:name="_Toc63706248"/>
      <w:r>
        <w:rPr>
          <w:rFonts w:hint="eastAsia" w:ascii="Times New Roman" w:hAnsi="Times New Roman" w:eastAsia="仿宋_GB2312"/>
          <w:b/>
          <w:sz w:val="32"/>
          <w:szCs w:val="32"/>
          <w:lang w:eastAsia="zh-CN"/>
        </w:rPr>
        <w:t>2.绩效评价对象和范围</w:t>
      </w:r>
      <w:bookmarkEnd w:id="17"/>
      <w:bookmarkEnd w:id="18"/>
      <w:bookmarkEnd w:id="19"/>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本次对</w:t>
      </w:r>
      <w:r>
        <w:rPr>
          <w:rFonts w:hint="eastAsia" w:ascii="Times New Roman" w:hAnsi="Times New Roman" w:eastAsia="仿宋_GB2312"/>
          <w:sz w:val="32"/>
          <w:szCs w:val="32"/>
          <w:lang w:eastAsia="zh-CN"/>
        </w:rPr>
        <w:t>食品安全委员会工作经费项目进行绩效评价</w:t>
      </w:r>
      <w:r>
        <w:rPr>
          <w:rFonts w:hint="eastAsia" w:ascii="Times New Roman" w:hAnsi="Times New Roman" w:eastAsia="仿宋_GB2312" w:cs="Times New Roman"/>
          <w:sz w:val="32"/>
          <w:szCs w:val="32"/>
          <w:lang w:eastAsia="zh-CN"/>
        </w:rPr>
        <w:t>，主要评价内容及范围如下：</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（1）立项依据和立项程序情况；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（2）绩效目标和指标设定情况；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（3）预算编制和资金分配情况；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（4）资金管理和使用情况；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（5）相关制度办法的健全性及执行情况；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（6）实现的产出情况；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（7）取得的效益情况；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（8）项目的自评情况。</w:t>
      </w:r>
    </w:p>
    <w:p>
      <w:pPr>
        <w:spacing w:line="300" w:lineRule="auto"/>
        <w:jc w:val="both"/>
        <w:outlineLvl w:val="1"/>
        <w:rPr>
          <w:rFonts w:ascii="Times New Roman" w:hAnsi="Times New Roman" w:eastAsia="仿宋_GB2312" w:cs="Times New Roman"/>
          <w:b/>
          <w:sz w:val="32"/>
          <w:szCs w:val="32"/>
          <w:lang w:eastAsia="zh-CN"/>
        </w:rPr>
      </w:pPr>
      <w:bookmarkStart w:id="20" w:name="_Toc112070753"/>
      <w:r>
        <w:rPr>
          <w:rFonts w:hint="eastAsia" w:ascii="Times New Roman" w:hAnsi="Times New Roman" w:eastAsia="仿宋_GB2312" w:cs="Times New Roman"/>
          <w:b/>
          <w:sz w:val="32"/>
          <w:szCs w:val="32"/>
          <w:lang w:eastAsia="zh-CN"/>
        </w:rPr>
        <w:t>（二）绩效评价原则、指标体系、方法、标准</w:t>
      </w:r>
      <w:bookmarkEnd w:id="20"/>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21" w:name="_Toc63706250"/>
      <w:bookmarkStart w:id="22" w:name="_Toc83563115"/>
      <w:bookmarkStart w:id="23" w:name="_Toc107933387"/>
      <w:r>
        <w:rPr>
          <w:rFonts w:hint="eastAsia" w:ascii="Times New Roman" w:hAnsi="Times New Roman" w:eastAsia="仿宋_GB2312"/>
          <w:b/>
          <w:sz w:val="32"/>
          <w:szCs w:val="32"/>
          <w:lang w:eastAsia="zh-CN"/>
        </w:rPr>
        <w:t>1.绩效评价原则</w:t>
      </w:r>
      <w:bookmarkEnd w:id="21"/>
      <w:bookmarkEnd w:id="22"/>
      <w:bookmarkEnd w:id="23"/>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（1）科学规范原则。绩效评价应当运用科学合理的评价指标体系和方法，按照规范的程序，对支出绩效进行客观、公正的反映。</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（2）统筹兼顾原则。绩效自评、部门评价和财政评价应职责明确，各有侧重，互相衔接。按照“谁支出、谁自评”的原则，绩效自评由市场局自主实施，财政评价委托第三方机构实施。</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（3）激励约束原则。绩效评价结果应与预算安排、政策调整、改进管理实质性挂钩，体现奖优罚劣和激励相容导向，有效要安排、低效要压减、无效要问责。</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（4）公开透明原则。绩效评价结果应依法依规公开，并自觉接受有关机构和社会监督。</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（5）有据可循原则。预算绩效评价以实际情况为基础，绩效评价所依据的资料是往年实际数据或是依据实际数据推算得到的数据。</w:t>
      </w:r>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24" w:name="_Toc63706251"/>
      <w:bookmarkStart w:id="25" w:name="_Toc83563116"/>
      <w:bookmarkStart w:id="26" w:name="_Toc107933388"/>
      <w:r>
        <w:rPr>
          <w:rFonts w:hint="eastAsia" w:ascii="Times New Roman" w:hAnsi="Times New Roman" w:eastAsia="仿宋_GB2312"/>
          <w:b/>
          <w:sz w:val="32"/>
          <w:szCs w:val="32"/>
          <w:lang w:eastAsia="zh-CN"/>
        </w:rPr>
        <w:t>2.绩效评价指标体系</w:t>
      </w:r>
      <w:bookmarkEnd w:id="24"/>
      <w:bookmarkEnd w:id="25"/>
      <w:bookmarkEnd w:id="26"/>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项目绩效评价指标体系由决策、过程、产出、效益及自评五个一级指标构成。设置二级指标11个，三级指标22个。</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该项目绩效评价指标体系详见附件：</w:t>
      </w:r>
      <w:r>
        <w:rPr>
          <w:rFonts w:hint="eastAsia" w:ascii="Times New Roman" w:hAnsi="Times New Roman" w:eastAsia="仿宋_GB2312"/>
          <w:sz w:val="32"/>
          <w:szCs w:val="32"/>
          <w:lang w:eastAsia="zh-CN"/>
        </w:rPr>
        <w:t>食品安全委员会工作经费绩效评价指标评分表</w:t>
      </w:r>
      <w:r>
        <w:rPr>
          <w:rFonts w:hint="eastAsia" w:ascii="Times New Roman" w:hAnsi="Times New Roman" w:eastAsia="仿宋_GB2312" w:cs="Times New Roman"/>
          <w:sz w:val="32"/>
          <w:szCs w:val="32"/>
          <w:lang w:eastAsia="zh-CN"/>
        </w:rPr>
        <w:t>。</w:t>
      </w:r>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27" w:name="_Toc107933389"/>
      <w:bookmarkStart w:id="28" w:name="_Toc63706252"/>
      <w:bookmarkStart w:id="29" w:name="_Toc83563117"/>
      <w:r>
        <w:rPr>
          <w:rFonts w:hint="eastAsia" w:ascii="Times New Roman" w:hAnsi="Times New Roman" w:eastAsia="仿宋_GB2312"/>
          <w:b/>
          <w:sz w:val="32"/>
          <w:szCs w:val="32"/>
          <w:lang w:eastAsia="zh-CN"/>
        </w:rPr>
        <w:t>3.绩效评价方法</w:t>
      </w:r>
      <w:bookmarkEnd w:id="27"/>
      <w:bookmarkEnd w:id="28"/>
      <w:bookmarkEnd w:id="29"/>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绩效评价技术方法主要有成本效益分析法、比较法、因素分析法、最低成本法、公众评判法等。其中：</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（1）成本效益分析法。是指将一定时期内的支出与效益进行对比分析，以评价绩效目标的实现程度。</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（2）比较法。是指通过对绩效目标与实施效果、历史与当期情况、不同部门和地区同类支出的比较，综合分析绩效目标的实现程度。</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（3）因素分析法。是指通过综合分析影响绩效目标实现、实施效果的内外因素，评价绩效目标实现程度。</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（4）最低成本法。是指对效益确定却不易计量的多个同类对象的实施成本进行比较，评价绩效目标的实现程度。</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（5）公众评判法。是指通过专家评估、公众问卷及抽样调查等对预算支出效果进行评判，评价绩效目标的实现程度。</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（6）其他评价方法。</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绩效评价方法的选用应当坚持简便有效的原则，评价时可根据对象的具体情况，采用一种或多种方法进行绩效评价。</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在本次评价过程中，将采用抽查、审阅、计算、询问、观察、分析性复核等方法。通过市场局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30" w:name="_Toc83563118"/>
      <w:bookmarkStart w:id="31" w:name="_Toc63706253"/>
      <w:bookmarkStart w:id="32" w:name="_Toc107933390"/>
      <w:r>
        <w:rPr>
          <w:rFonts w:hint="eastAsia" w:ascii="Times New Roman" w:hAnsi="Times New Roman" w:eastAsia="仿宋_GB2312"/>
          <w:b/>
          <w:sz w:val="32"/>
          <w:szCs w:val="32"/>
          <w:lang w:eastAsia="zh-CN"/>
        </w:rPr>
        <w:t>4.绩效评价标准</w:t>
      </w:r>
      <w:bookmarkEnd w:id="30"/>
      <w:bookmarkEnd w:id="31"/>
      <w:bookmarkEnd w:id="32"/>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该项目绩效评价标准详见附件：</w:t>
      </w:r>
      <w:r>
        <w:rPr>
          <w:rFonts w:hint="eastAsia" w:ascii="Times New Roman" w:hAnsi="Times New Roman" w:eastAsia="仿宋_GB2312"/>
          <w:sz w:val="32"/>
          <w:szCs w:val="32"/>
          <w:lang w:eastAsia="zh-CN"/>
        </w:rPr>
        <w:t>食品安全委员会工作经费绩效评价指标评分表</w:t>
      </w:r>
      <w:r>
        <w:rPr>
          <w:rFonts w:hint="eastAsia" w:ascii="Times New Roman" w:hAnsi="Times New Roman" w:eastAsia="仿宋_GB2312" w:cs="Times New Roman"/>
          <w:sz w:val="32"/>
          <w:szCs w:val="32"/>
          <w:lang w:eastAsia="zh-CN"/>
        </w:rPr>
        <w:t>。</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指标体系满分100分，各项指标综合得分90分（含）以上为优；80分（含）至90分为良；60分（含）至80分为中；60分以下为差。</w:t>
      </w:r>
    </w:p>
    <w:p>
      <w:pPr>
        <w:spacing w:line="300" w:lineRule="auto"/>
        <w:jc w:val="both"/>
        <w:outlineLvl w:val="1"/>
        <w:rPr>
          <w:rFonts w:ascii="Times New Roman" w:hAnsi="Times New Roman" w:eastAsia="仿宋_GB2312" w:cs="Times New Roman"/>
          <w:b/>
          <w:sz w:val="32"/>
          <w:szCs w:val="32"/>
          <w:lang w:eastAsia="zh-CN"/>
        </w:rPr>
      </w:pPr>
      <w:bookmarkStart w:id="33" w:name="_Toc112070754"/>
      <w:r>
        <w:rPr>
          <w:rFonts w:hint="eastAsia" w:ascii="Times New Roman" w:hAnsi="Times New Roman" w:eastAsia="仿宋_GB2312" w:cs="Times New Roman"/>
          <w:b/>
          <w:sz w:val="32"/>
          <w:szCs w:val="32"/>
          <w:lang w:eastAsia="zh-CN"/>
        </w:rPr>
        <w:t>（三）</w:t>
      </w:r>
      <w:r>
        <w:rPr>
          <w:rFonts w:ascii="Times New Roman" w:hAnsi="Times New Roman" w:eastAsia="仿宋_GB2312" w:cs="Times New Roman"/>
          <w:b/>
          <w:sz w:val="32"/>
          <w:szCs w:val="32"/>
          <w:lang w:eastAsia="zh-CN"/>
        </w:rPr>
        <w:t>绩效评价工作过程</w:t>
      </w:r>
      <w:bookmarkEnd w:id="33"/>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34" w:name="_Toc83563120"/>
      <w:bookmarkStart w:id="35" w:name="_Toc63706255"/>
      <w:bookmarkStart w:id="36" w:name="_Toc107933392"/>
      <w:r>
        <w:rPr>
          <w:rFonts w:hint="eastAsia" w:ascii="Times New Roman" w:hAnsi="Times New Roman" w:eastAsia="仿宋_GB2312"/>
          <w:b/>
          <w:sz w:val="32"/>
          <w:szCs w:val="32"/>
          <w:lang w:eastAsia="zh-CN"/>
        </w:rPr>
        <w:t>1.前期准备</w:t>
      </w:r>
      <w:bookmarkEnd w:id="34"/>
      <w:bookmarkEnd w:id="35"/>
      <w:bookmarkEnd w:id="36"/>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（1）成立绩效评价工作组</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公司抽调专人成立绩效评价工作组，制定评价方案，明确工作职责，组织人员开展业务学习，熟悉相关政策和要求，设计相关表格，联系相关部门和单位，确定实施时间。</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（2）组织各单位编制自评报告</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组织各单位进行自评，填报自评表、编制自评报告。</w:t>
      </w:r>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37" w:name="_Toc83563121"/>
      <w:bookmarkStart w:id="38" w:name="_Toc107933393"/>
      <w:bookmarkStart w:id="39" w:name="_Toc63706256"/>
      <w:r>
        <w:rPr>
          <w:rFonts w:hint="eastAsia" w:ascii="Times New Roman" w:hAnsi="Times New Roman" w:eastAsia="仿宋_GB2312"/>
          <w:b/>
          <w:sz w:val="32"/>
          <w:szCs w:val="32"/>
          <w:lang w:eastAsia="zh-CN"/>
        </w:rPr>
        <w:t>2.实施阶段</w:t>
      </w:r>
      <w:bookmarkEnd w:id="37"/>
      <w:bookmarkEnd w:id="38"/>
      <w:bookmarkEnd w:id="39"/>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（1）收集分析资料、建立指标体系</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（2）召开座谈会及现场调研</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组织市场局及相关人员等召开座谈会，双方就资料分析过程中产生的问题进行沟通。</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（3）报告撰写阶段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40" w:name="_Toc63706257"/>
      <w:bookmarkStart w:id="41" w:name="_Toc83563122"/>
      <w:bookmarkStart w:id="42" w:name="_Toc107933394"/>
      <w:r>
        <w:rPr>
          <w:rFonts w:hint="eastAsia" w:ascii="Times New Roman" w:hAnsi="Times New Roman" w:eastAsia="仿宋_GB2312"/>
          <w:b/>
          <w:sz w:val="32"/>
          <w:szCs w:val="32"/>
          <w:lang w:eastAsia="zh-CN"/>
        </w:rPr>
        <w:t>3.评价完成阶段</w:t>
      </w:r>
      <w:bookmarkEnd w:id="40"/>
      <w:bookmarkEnd w:id="41"/>
      <w:bookmarkEnd w:id="42"/>
    </w:p>
    <w:p>
      <w:pPr>
        <w:autoSpaceDE w:val="0"/>
        <w:autoSpaceDN w:val="0"/>
        <w:adjustRightInd w:val="0"/>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与财政部门沟通报告初步结论及内容；向市场局发送评价结论，并听取其反馈意见；经最终调整修正后，出具评估报告；及时整理评估工作底稿、附件、核对取证记录和有关资料，将完整的项目评价资料登记归档。</w:t>
      </w:r>
    </w:p>
    <w:p>
      <w:pPr>
        <w:spacing w:line="600" w:lineRule="exact"/>
        <w:jc w:val="both"/>
        <w:outlineLvl w:val="1"/>
        <w:rPr>
          <w:rFonts w:ascii="Times New Roman" w:hAnsi="Times New Roman" w:eastAsia="仿宋_GB2312" w:cs="Times New Roman"/>
          <w:b/>
          <w:sz w:val="32"/>
          <w:szCs w:val="32"/>
          <w:lang w:eastAsia="zh-CN"/>
        </w:rPr>
        <w:sectPr>
          <w:pgSz w:w="11906" w:h="16838"/>
          <w:pgMar w:top="1440" w:right="1800" w:bottom="1440" w:left="1800" w:header="851" w:footer="992" w:gutter="0"/>
          <w:cols w:space="425" w:num="1"/>
          <w:docGrid w:type="lines" w:linePitch="312" w:charSpace="0"/>
        </w:sectPr>
      </w:pPr>
    </w:p>
    <w:p>
      <w:pPr>
        <w:spacing w:line="300" w:lineRule="auto"/>
        <w:jc w:val="center"/>
        <w:outlineLvl w:val="0"/>
        <w:rPr>
          <w:rFonts w:ascii="Times New Roman" w:hAnsi="Times New Roman" w:eastAsia="黑体" w:cs="Times New Roman"/>
          <w:spacing w:val="-4"/>
          <w:w w:val="105"/>
          <w:sz w:val="32"/>
          <w:szCs w:val="32"/>
          <w:lang w:eastAsia="zh-CN"/>
        </w:rPr>
      </w:pPr>
      <w:bookmarkStart w:id="43" w:name="_Toc112070755"/>
      <w:r>
        <w:rPr>
          <w:rFonts w:ascii="Times New Roman" w:hAnsi="Times New Roman" w:eastAsia="黑体" w:cs="Times New Roman"/>
          <w:spacing w:val="-4"/>
          <w:w w:val="105"/>
          <w:sz w:val="32"/>
          <w:szCs w:val="32"/>
          <w:lang w:eastAsia="zh-CN"/>
        </w:rPr>
        <w:t>三、综合评价情况及评价结论（附相关评分表）</w:t>
      </w:r>
      <w:bookmarkEnd w:id="43"/>
    </w:p>
    <w:p>
      <w:pPr>
        <w:spacing w:line="300" w:lineRule="auto"/>
        <w:jc w:val="both"/>
        <w:outlineLvl w:val="1"/>
        <w:rPr>
          <w:rFonts w:ascii="Times New Roman" w:hAnsi="Times New Roman" w:eastAsia="仿宋_GB2312" w:cs="Times New Roman"/>
          <w:b/>
          <w:sz w:val="32"/>
          <w:szCs w:val="32"/>
          <w:lang w:eastAsia="zh-CN"/>
        </w:rPr>
      </w:pPr>
      <w:bookmarkStart w:id="44" w:name="_Toc112070756"/>
      <w:bookmarkStart w:id="45" w:name="_Toc460413895"/>
      <w:r>
        <w:rPr>
          <w:rFonts w:ascii="Times New Roman" w:hAnsi="Times New Roman" w:eastAsia="仿宋_GB2312" w:cs="Times New Roman"/>
          <w:b/>
          <w:sz w:val="32"/>
          <w:szCs w:val="32"/>
          <w:lang w:eastAsia="zh-CN"/>
        </w:rPr>
        <w:t>（一）绩效评价指标综合得分情况</w:t>
      </w:r>
      <w:bookmarkEnd w:id="44"/>
      <w:bookmarkEnd w:id="45"/>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对食品安全委员会工作经费项目决策、过程、产出和效益进行了分析评价，根据各评价指标的权重及得分确定本项目综合绩效得分97.93分，根据表3.1，最终绩效评价结果等级为优。</w:t>
      </w:r>
    </w:p>
    <w:p>
      <w:pPr>
        <w:spacing w:line="360" w:lineRule="auto"/>
        <w:jc w:val="center"/>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表3.</w:t>
      </w:r>
      <w:r>
        <w:rPr>
          <w:rFonts w:hint="eastAsia" w:ascii="Times New Roman" w:hAnsi="Times New Roman" w:eastAsia="仿宋_GB2312" w:cs="Times New Roman"/>
          <w:sz w:val="30"/>
          <w:szCs w:val="30"/>
          <w:lang w:eastAsia="zh-CN"/>
        </w:rPr>
        <w:t>1</w:t>
      </w:r>
      <w:r>
        <w:rPr>
          <w:rFonts w:ascii="Times New Roman" w:hAnsi="Times New Roman" w:eastAsia="仿宋_GB2312" w:cs="Times New Roman"/>
          <w:sz w:val="30"/>
          <w:szCs w:val="30"/>
          <w:lang w:eastAsia="zh-CN"/>
        </w:rPr>
        <w:t>绩效评价结果等级划分</w:t>
      </w:r>
    </w:p>
    <w:tbl>
      <w:tblPr>
        <w:tblStyle w:val="10"/>
        <w:tblW w:w="8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2841"/>
        <w:gridCol w:w="4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vAlign w:val="center"/>
          </w:tcPr>
          <w:p>
            <w:pPr>
              <w:spacing w:line="440" w:lineRule="exact"/>
              <w:jc w:val="both"/>
              <w:rPr>
                <w:rFonts w:ascii="Times New Roman" w:hAnsi="Times New Roman" w:eastAsia="仿宋_GB2312" w:cs="Times New Roman"/>
                <w:b/>
                <w:sz w:val="30"/>
                <w:szCs w:val="30"/>
              </w:rPr>
            </w:pPr>
            <w:r>
              <w:rPr>
                <w:rFonts w:ascii="Times New Roman" w:hAnsi="Times New Roman" w:eastAsia="仿宋_GB2312" w:cs="Times New Roman"/>
                <w:b/>
                <w:sz w:val="30"/>
                <w:szCs w:val="30"/>
              </w:rPr>
              <w:t>序号</w:t>
            </w:r>
          </w:p>
        </w:tc>
        <w:tc>
          <w:tcPr>
            <w:tcW w:w="2841" w:type="dxa"/>
            <w:vAlign w:val="center"/>
          </w:tcPr>
          <w:p>
            <w:pPr>
              <w:spacing w:line="440" w:lineRule="exact"/>
              <w:jc w:val="both"/>
              <w:rPr>
                <w:rFonts w:ascii="Times New Roman" w:hAnsi="Times New Roman" w:eastAsia="仿宋_GB2312" w:cs="Times New Roman"/>
                <w:b/>
                <w:sz w:val="30"/>
                <w:szCs w:val="30"/>
              </w:rPr>
            </w:pPr>
            <w:r>
              <w:rPr>
                <w:rFonts w:ascii="Times New Roman" w:hAnsi="Times New Roman" w:eastAsia="仿宋_GB2312" w:cs="Times New Roman"/>
                <w:b/>
                <w:sz w:val="30"/>
                <w:szCs w:val="30"/>
              </w:rPr>
              <w:t>绩效评价等级</w:t>
            </w:r>
          </w:p>
        </w:tc>
        <w:tc>
          <w:tcPr>
            <w:tcW w:w="4487" w:type="dxa"/>
            <w:vAlign w:val="center"/>
          </w:tcPr>
          <w:p>
            <w:pPr>
              <w:spacing w:line="440" w:lineRule="exact"/>
              <w:jc w:val="both"/>
              <w:rPr>
                <w:rFonts w:ascii="Times New Roman" w:hAnsi="Times New Roman" w:eastAsia="仿宋_GB2312" w:cs="Times New Roman"/>
                <w:b/>
                <w:sz w:val="30"/>
                <w:szCs w:val="30"/>
              </w:rPr>
            </w:pPr>
            <w:r>
              <w:rPr>
                <w:rFonts w:ascii="Times New Roman" w:hAnsi="Times New Roman" w:eastAsia="仿宋_GB2312" w:cs="Times New Roman"/>
                <w:b/>
                <w:sz w:val="30"/>
                <w:szCs w:val="30"/>
              </w:rPr>
              <w:t>对应分数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1</w:t>
            </w:r>
          </w:p>
        </w:tc>
        <w:tc>
          <w:tcPr>
            <w:tcW w:w="2841" w:type="dxa"/>
            <w:vAlign w:val="center"/>
          </w:tcPr>
          <w:p>
            <w:pPr>
              <w:spacing w:line="440" w:lineRule="exact"/>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rPr>
              <w:t>优</w:t>
            </w:r>
          </w:p>
        </w:tc>
        <w:tc>
          <w:tcPr>
            <w:tcW w:w="448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总分≥90分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2</w:t>
            </w:r>
          </w:p>
        </w:tc>
        <w:tc>
          <w:tcPr>
            <w:tcW w:w="2841" w:type="dxa"/>
            <w:vAlign w:val="center"/>
          </w:tcPr>
          <w:p>
            <w:pPr>
              <w:spacing w:line="440" w:lineRule="exact"/>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rPr>
              <w:t>良</w:t>
            </w:r>
          </w:p>
        </w:tc>
        <w:tc>
          <w:tcPr>
            <w:tcW w:w="448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lang w:eastAsia="zh-CN"/>
              </w:rPr>
              <w:t>80</w:t>
            </w:r>
            <w:r>
              <w:rPr>
                <w:rFonts w:ascii="Times New Roman" w:hAnsi="Times New Roman" w:eastAsia="仿宋_GB2312" w:cs="Times New Roman"/>
                <w:sz w:val="30"/>
                <w:szCs w:val="30"/>
              </w:rPr>
              <w:t>分≤总分＜90分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3</w:t>
            </w:r>
          </w:p>
        </w:tc>
        <w:tc>
          <w:tcPr>
            <w:tcW w:w="2841"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lang w:eastAsia="zh-CN"/>
              </w:rPr>
              <w:t>中</w:t>
            </w:r>
          </w:p>
        </w:tc>
        <w:tc>
          <w:tcPr>
            <w:tcW w:w="448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60分≤总分＜</w:t>
            </w:r>
            <w:r>
              <w:rPr>
                <w:rFonts w:ascii="Times New Roman" w:hAnsi="Times New Roman" w:eastAsia="仿宋_GB2312" w:cs="Times New Roman"/>
                <w:sz w:val="30"/>
                <w:szCs w:val="30"/>
                <w:lang w:eastAsia="zh-CN"/>
              </w:rPr>
              <w:t>80</w:t>
            </w:r>
            <w:r>
              <w:rPr>
                <w:rFonts w:ascii="Times New Roman" w:hAnsi="Times New Roman" w:eastAsia="仿宋_GB2312" w:cs="Times New Roman"/>
                <w:sz w:val="30"/>
                <w:szCs w:val="3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4</w:t>
            </w:r>
          </w:p>
        </w:tc>
        <w:tc>
          <w:tcPr>
            <w:tcW w:w="2841"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差</w:t>
            </w:r>
          </w:p>
        </w:tc>
        <w:tc>
          <w:tcPr>
            <w:tcW w:w="448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60分以下</w:t>
            </w:r>
          </w:p>
        </w:tc>
      </w:tr>
    </w:tbl>
    <w:p>
      <w:pPr>
        <w:spacing w:line="600" w:lineRule="exact"/>
        <w:ind w:firstLine="656" w:firstLineChars="200"/>
        <w:jc w:val="both"/>
        <w:rPr>
          <w:rFonts w:ascii="Times New Roman" w:hAnsi="Times New Roman" w:eastAsia="黑体" w:cs="Times New Roman"/>
          <w:spacing w:val="-4"/>
          <w:w w:val="105"/>
          <w:sz w:val="32"/>
          <w:szCs w:val="32"/>
          <w:lang w:eastAsia="zh-CN"/>
        </w:rPr>
      </w:pPr>
    </w:p>
    <w:p>
      <w:pPr>
        <w:spacing w:line="300" w:lineRule="auto"/>
        <w:jc w:val="both"/>
        <w:outlineLvl w:val="1"/>
        <w:rPr>
          <w:rFonts w:ascii="Times New Roman" w:hAnsi="Times New Roman" w:eastAsia="仿宋_GB2312" w:cs="Times New Roman"/>
          <w:b/>
          <w:sz w:val="32"/>
          <w:szCs w:val="32"/>
          <w:lang w:eastAsia="zh-CN"/>
        </w:rPr>
      </w:pPr>
      <w:bookmarkStart w:id="46" w:name="_Toc112070757"/>
      <w:bookmarkStart w:id="47" w:name="_Toc460413896"/>
      <w:r>
        <w:rPr>
          <w:rFonts w:ascii="Times New Roman" w:hAnsi="Times New Roman" w:eastAsia="仿宋_GB2312" w:cs="Times New Roman"/>
          <w:b/>
          <w:sz w:val="32"/>
          <w:szCs w:val="32"/>
          <w:lang w:eastAsia="zh-CN"/>
        </w:rPr>
        <w:t>（二）主要评价结论</w:t>
      </w:r>
      <w:bookmarkEnd w:id="46"/>
      <w:bookmarkEnd w:id="47"/>
    </w:p>
    <w:p>
      <w:pPr>
        <w:spacing w:line="300" w:lineRule="auto"/>
        <w:jc w:val="both"/>
        <w:outlineLvl w:val="2"/>
        <w:rPr>
          <w:rFonts w:ascii="Times New Roman" w:hAnsi="Times New Roman" w:eastAsia="仿宋_GB2312" w:cs="Times New Roman"/>
          <w:b/>
          <w:sz w:val="32"/>
          <w:szCs w:val="32"/>
          <w:lang w:eastAsia="zh-CN"/>
        </w:rPr>
      </w:pPr>
      <w:bookmarkStart w:id="48" w:name="_Toc83563126"/>
      <w:bookmarkStart w:id="49" w:name="_Toc63706261"/>
      <w:bookmarkStart w:id="50" w:name="_Toc107933398"/>
      <w:bookmarkStart w:id="51" w:name="_Toc460413897"/>
      <w:r>
        <w:rPr>
          <w:rFonts w:ascii="Times New Roman" w:hAnsi="Times New Roman" w:eastAsia="仿宋_GB2312" w:cs="Times New Roman"/>
          <w:b/>
          <w:sz w:val="32"/>
          <w:szCs w:val="32"/>
          <w:lang w:eastAsia="zh-CN"/>
        </w:rPr>
        <w:t>1.项目</w:t>
      </w:r>
      <w:r>
        <w:rPr>
          <w:rFonts w:hint="eastAsia" w:ascii="Times New Roman" w:hAnsi="Times New Roman" w:eastAsia="仿宋_GB2312" w:cs="Times New Roman"/>
          <w:b/>
          <w:sz w:val="32"/>
          <w:szCs w:val="32"/>
          <w:lang w:eastAsia="zh-CN"/>
        </w:rPr>
        <w:t>决策</w:t>
      </w:r>
      <w:r>
        <w:rPr>
          <w:rFonts w:ascii="Times New Roman" w:hAnsi="Times New Roman" w:eastAsia="仿宋_GB2312" w:cs="Times New Roman"/>
          <w:b/>
          <w:sz w:val="32"/>
          <w:szCs w:val="32"/>
          <w:lang w:eastAsia="zh-CN"/>
        </w:rPr>
        <w:t>评价结论</w:t>
      </w:r>
      <w:bookmarkEnd w:id="48"/>
      <w:bookmarkEnd w:id="49"/>
      <w:bookmarkEnd w:id="50"/>
      <w:bookmarkEnd w:id="51"/>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w:t>
      </w:r>
      <w:r>
        <w:rPr>
          <w:rFonts w:ascii="Times New Roman" w:hAnsi="Times New Roman" w:eastAsia="仿宋_GB2312" w:cs="Times New Roman"/>
          <w:sz w:val="32"/>
          <w:szCs w:val="32"/>
          <w:lang w:eastAsia="zh-CN"/>
        </w:rPr>
        <w:t>项目立项符合国家法律法规、行业发展规划和政策要求，与部门职责范围相符，</w:t>
      </w:r>
      <w:r>
        <w:rPr>
          <w:rFonts w:hint="eastAsia" w:ascii="Times New Roman" w:hAnsi="Times New Roman" w:eastAsia="仿宋_GB2312" w:cs="Times New Roman"/>
          <w:sz w:val="32"/>
          <w:szCs w:val="32"/>
          <w:lang w:eastAsia="zh-CN"/>
        </w:rPr>
        <w:t>并按照规定的程序申请设立，审批文件符合相关要求，经过了必要的集体决策。</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本项目设置了绩效目标，与实际工作内容具有较强的相关性，与预算确定的项目投资额或资金量相匹配，均已细化为三级指标，指标值表述清晰明确，可度量。</w:t>
      </w:r>
    </w:p>
    <w:p>
      <w:pPr>
        <w:spacing w:line="300" w:lineRule="auto"/>
        <w:ind w:firstLine="640" w:firstLineChars="200"/>
        <w:jc w:val="both"/>
        <w:rPr>
          <w:rFonts w:ascii="Times New Roman" w:hAnsi="Times New Roman" w:eastAsia="黑体" w:cs="Times New Roman"/>
          <w:spacing w:val="-4"/>
          <w:w w:val="105"/>
          <w:sz w:val="32"/>
          <w:szCs w:val="32"/>
          <w:lang w:eastAsia="zh-CN"/>
        </w:rPr>
      </w:pPr>
      <w:r>
        <w:rPr>
          <w:rFonts w:hint="eastAsia" w:ascii="Times New Roman" w:hAnsi="Times New Roman" w:eastAsia="仿宋_GB2312" w:cs="Times New Roman"/>
          <w:sz w:val="32"/>
          <w:szCs w:val="32"/>
          <w:lang w:eastAsia="zh-CN"/>
        </w:rPr>
        <w:t>本项目的预算编制经过科学论证，预算内容基本与项目内容匹配，具备必要的测算依据。分配额度合理，在地方财政承受能力范围之内。</w:t>
      </w:r>
    </w:p>
    <w:p>
      <w:pPr>
        <w:spacing w:line="300" w:lineRule="auto"/>
        <w:jc w:val="both"/>
        <w:outlineLvl w:val="2"/>
        <w:rPr>
          <w:rFonts w:ascii="Times New Roman" w:hAnsi="Times New Roman" w:eastAsia="仿宋_GB2312" w:cs="Times New Roman"/>
          <w:b/>
          <w:sz w:val="32"/>
          <w:szCs w:val="32"/>
          <w:lang w:eastAsia="zh-CN"/>
        </w:rPr>
      </w:pPr>
      <w:bookmarkStart w:id="52" w:name="_Toc83563127"/>
      <w:bookmarkStart w:id="53" w:name="_Toc63706262"/>
      <w:bookmarkStart w:id="54" w:name="_Toc460413898"/>
      <w:bookmarkStart w:id="55" w:name="_Toc107933399"/>
      <w:r>
        <w:rPr>
          <w:rFonts w:ascii="Times New Roman" w:hAnsi="Times New Roman" w:eastAsia="仿宋_GB2312" w:cs="Times New Roman"/>
          <w:b/>
          <w:sz w:val="32"/>
          <w:szCs w:val="32"/>
          <w:lang w:eastAsia="zh-CN"/>
        </w:rPr>
        <w:t>2.项目过程评价结论</w:t>
      </w:r>
      <w:bookmarkEnd w:id="52"/>
      <w:bookmarkEnd w:id="53"/>
      <w:bookmarkEnd w:id="54"/>
      <w:bookmarkEnd w:id="55"/>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本项目资金到位率为100%，预算执行率为73.16</w:t>
      </w:r>
      <w:r>
        <w:rPr>
          <w:rFonts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。预算资金</w:t>
      </w:r>
      <w:r>
        <w:rPr>
          <w:rFonts w:ascii="Times New Roman" w:hAnsi="Times New Roman" w:eastAsia="仿宋_GB2312" w:cs="Times New Roman"/>
          <w:sz w:val="32"/>
          <w:szCs w:val="32"/>
          <w:lang w:eastAsia="zh-CN"/>
        </w:rPr>
        <w:t>的使用符合国家财经法规和财务管理制度以及有关专项资金管理办法的规定，有完整的审批程序和手续</w:t>
      </w:r>
      <w:r>
        <w:rPr>
          <w:rFonts w:hint="eastAsia" w:ascii="Times New Roman" w:hAnsi="Times New Roman" w:eastAsia="仿宋_GB2312" w:cs="Times New Roman"/>
          <w:sz w:val="32"/>
          <w:szCs w:val="32"/>
          <w:lang w:eastAsia="zh-CN"/>
        </w:rPr>
        <w:t>，符合项目的预算批复或合同规定的用途，不存在截留、挤占、挪用、虚列支出等情况。</w:t>
      </w:r>
    </w:p>
    <w:p>
      <w:pPr>
        <w:spacing w:line="300" w:lineRule="auto"/>
        <w:ind w:firstLine="640" w:firstLineChars="200"/>
        <w:jc w:val="both"/>
        <w:rPr>
          <w:rFonts w:ascii="Times New Roman" w:hAnsi="Times New Roman" w:eastAsia="黑体" w:cs="Times New Roman"/>
          <w:spacing w:val="-4"/>
          <w:w w:val="105"/>
          <w:sz w:val="32"/>
          <w:szCs w:val="32"/>
          <w:lang w:eastAsia="zh-CN"/>
        </w:rPr>
      </w:pPr>
      <w:r>
        <w:rPr>
          <w:rFonts w:hint="eastAsia" w:ascii="Times New Roman" w:hAnsi="Times New Roman" w:eastAsia="仿宋_GB2312" w:cs="Times New Roman"/>
          <w:sz w:val="32"/>
          <w:szCs w:val="32"/>
          <w:lang w:eastAsia="zh-CN"/>
        </w:rPr>
        <w:t>本项目签订了各类服务委托合同、各项目验收报告齐全。项目的实施人员条件、场地设备、信息支撑等基本落实到位。财务管理制度合法、合规、完整。但缺少相应的业务管理制度。</w:t>
      </w:r>
    </w:p>
    <w:p>
      <w:pPr>
        <w:spacing w:line="300" w:lineRule="auto"/>
        <w:jc w:val="both"/>
        <w:outlineLvl w:val="2"/>
        <w:rPr>
          <w:rFonts w:ascii="Times New Roman" w:hAnsi="Times New Roman" w:eastAsia="仿宋_GB2312" w:cs="Times New Roman"/>
          <w:b/>
          <w:sz w:val="32"/>
          <w:szCs w:val="32"/>
          <w:lang w:eastAsia="zh-CN"/>
        </w:rPr>
      </w:pPr>
      <w:bookmarkStart w:id="56" w:name="_Toc460413899"/>
      <w:bookmarkStart w:id="57" w:name="_Toc63706263"/>
      <w:bookmarkStart w:id="58" w:name="_Toc107933400"/>
      <w:bookmarkStart w:id="59" w:name="_Toc83563128"/>
      <w:r>
        <w:rPr>
          <w:rFonts w:ascii="Times New Roman" w:hAnsi="Times New Roman" w:eastAsia="仿宋_GB2312" w:cs="Times New Roman"/>
          <w:b/>
          <w:sz w:val="32"/>
          <w:szCs w:val="32"/>
          <w:lang w:eastAsia="zh-CN"/>
        </w:rPr>
        <w:t>3.项目产出评价结论</w:t>
      </w:r>
      <w:bookmarkEnd w:id="56"/>
      <w:bookmarkEnd w:id="57"/>
      <w:bookmarkEnd w:id="58"/>
      <w:bookmarkEnd w:id="59"/>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经查阅项目合同和验收报告，各项产出指标均已满足合同规定的服务内容。成本偏差率为</w:t>
      </w:r>
      <w:r>
        <w:rPr>
          <w:rFonts w:ascii="Times New Roman" w:hAnsi="Times New Roman" w:eastAsia="仿宋_GB2312" w:cs="Times New Roman"/>
          <w:sz w:val="32"/>
          <w:szCs w:val="32"/>
          <w:lang w:eastAsia="zh-CN"/>
        </w:rPr>
        <w:t>-17.09%</w:t>
      </w:r>
      <w:r>
        <w:rPr>
          <w:rFonts w:hint="eastAsia" w:ascii="Times New Roman" w:hAnsi="Times New Roman" w:eastAsia="仿宋_GB2312" w:cs="Times New Roman"/>
          <w:sz w:val="32"/>
          <w:szCs w:val="32"/>
          <w:lang w:eastAsia="zh-CN"/>
        </w:rPr>
        <w:t>，进度偏差率为0。</w:t>
      </w:r>
    </w:p>
    <w:p>
      <w:pPr>
        <w:spacing w:line="300" w:lineRule="auto"/>
        <w:jc w:val="both"/>
        <w:outlineLvl w:val="2"/>
        <w:rPr>
          <w:rFonts w:ascii="Times New Roman" w:hAnsi="Times New Roman" w:eastAsia="仿宋_GB2312" w:cs="Times New Roman"/>
          <w:b/>
          <w:sz w:val="32"/>
          <w:szCs w:val="32"/>
          <w:lang w:eastAsia="zh-CN"/>
        </w:rPr>
      </w:pPr>
      <w:bookmarkStart w:id="60" w:name="_Toc107933401"/>
      <w:bookmarkStart w:id="61" w:name="_Toc63706264"/>
      <w:bookmarkStart w:id="62" w:name="_Toc83563129"/>
      <w:bookmarkStart w:id="63" w:name="_Toc460413900"/>
      <w:r>
        <w:rPr>
          <w:rFonts w:ascii="Times New Roman" w:hAnsi="Times New Roman" w:eastAsia="仿宋_GB2312" w:cs="Times New Roman"/>
          <w:b/>
          <w:sz w:val="32"/>
          <w:szCs w:val="32"/>
          <w:lang w:eastAsia="zh-CN"/>
        </w:rPr>
        <w:t>4.项目</w:t>
      </w:r>
      <w:r>
        <w:rPr>
          <w:rFonts w:hint="eastAsia" w:ascii="Times New Roman" w:hAnsi="Times New Roman" w:eastAsia="仿宋_GB2312" w:cs="Times New Roman"/>
          <w:b/>
          <w:sz w:val="32"/>
          <w:szCs w:val="32"/>
          <w:lang w:eastAsia="zh-CN"/>
        </w:rPr>
        <w:t>效益</w:t>
      </w:r>
      <w:r>
        <w:rPr>
          <w:rFonts w:ascii="Times New Roman" w:hAnsi="Times New Roman" w:eastAsia="仿宋_GB2312" w:cs="Times New Roman"/>
          <w:b/>
          <w:sz w:val="32"/>
          <w:szCs w:val="32"/>
          <w:lang w:eastAsia="zh-CN"/>
        </w:rPr>
        <w:t>评价结论</w:t>
      </w:r>
      <w:bookmarkEnd w:id="60"/>
      <w:bookmarkEnd w:id="61"/>
      <w:bookmarkEnd w:id="62"/>
      <w:bookmarkEnd w:id="63"/>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本项目的实施可以产生良好的社会效益和可持续影响效益，通过问卷访谈的形式对项目实施单位的满意度情况进行调查并打分，本项目服务对象满意度为100%。</w:t>
      </w:r>
    </w:p>
    <w:p>
      <w:pPr>
        <w:spacing w:line="300" w:lineRule="auto"/>
        <w:jc w:val="both"/>
        <w:outlineLvl w:val="2"/>
        <w:rPr>
          <w:rFonts w:ascii="Times New Roman" w:hAnsi="Times New Roman" w:eastAsia="仿宋_GB2312" w:cs="Times New Roman"/>
          <w:b/>
          <w:sz w:val="32"/>
          <w:szCs w:val="32"/>
          <w:lang w:eastAsia="zh-CN"/>
        </w:rPr>
      </w:pPr>
      <w:bookmarkStart w:id="64" w:name="_Toc83563130"/>
      <w:bookmarkStart w:id="65" w:name="_Toc107933402"/>
      <w:bookmarkStart w:id="66" w:name="_Toc63706265"/>
      <w:r>
        <w:rPr>
          <w:rFonts w:hint="eastAsia" w:ascii="Times New Roman" w:hAnsi="Times New Roman" w:eastAsia="仿宋_GB2312" w:cs="Times New Roman"/>
          <w:b/>
          <w:sz w:val="32"/>
          <w:szCs w:val="32"/>
          <w:lang w:eastAsia="zh-CN"/>
        </w:rPr>
        <w:t>5</w:t>
      </w:r>
      <w:r>
        <w:rPr>
          <w:rFonts w:ascii="Times New Roman" w:hAnsi="Times New Roman" w:eastAsia="仿宋_GB2312" w:cs="Times New Roman"/>
          <w:b/>
          <w:sz w:val="32"/>
          <w:szCs w:val="32"/>
          <w:lang w:eastAsia="zh-CN"/>
        </w:rPr>
        <w:t>.项目</w:t>
      </w:r>
      <w:r>
        <w:rPr>
          <w:rFonts w:hint="eastAsia" w:ascii="Times New Roman" w:hAnsi="Times New Roman" w:eastAsia="仿宋_GB2312" w:cs="Times New Roman"/>
          <w:b/>
          <w:sz w:val="32"/>
          <w:szCs w:val="32"/>
          <w:lang w:eastAsia="zh-CN"/>
        </w:rPr>
        <w:t>自评情况</w:t>
      </w:r>
      <w:r>
        <w:rPr>
          <w:rFonts w:ascii="Times New Roman" w:hAnsi="Times New Roman" w:eastAsia="仿宋_GB2312" w:cs="Times New Roman"/>
          <w:b/>
          <w:sz w:val="32"/>
          <w:szCs w:val="32"/>
          <w:lang w:eastAsia="zh-CN"/>
        </w:rPr>
        <w:t>结论</w:t>
      </w:r>
      <w:bookmarkEnd w:id="64"/>
      <w:bookmarkEnd w:id="65"/>
      <w:bookmarkEnd w:id="66"/>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项目实施单位按照规定报送了绩效自评表及绩效自评报告，报告撰写、填写质量基本满足要求。</w:t>
      </w:r>
      <w:r>
        <w:rPr>
          <w:rFonts w:ascii="Times New Roman" w:hAnsi="Times New Roman" w:eastAsia="仿宋_GB2312" w:cs="Times New Roman"/>
          <w:sz w:val="32"/>
          <w:szCs w:val="32"/>
          <w:lang w:eastAsia="zh-CN"/>
        </w:rPr>
        <w:t xml:space="preserve"> </w:t>
      </w:r>
    </w:p>
    <w:p>
      <w:pPr>
        <w:spacing w:line="600" w:lineRule="exact"/>
        <w:ind w:firstLine="656" w:firstLineChars="200"/>
        <w:jc w:val="both"/>
        <w:rPr>
          <w:rFonts w:ascii="Times New Roman" w:hAnsi="Times New Roman" w:eastAsia="黑体" w:cs="Times New Roman"/>
          <w:spacing w:val="-4"/>
          <w:w w:val="105"/>
          <w:sz w:val="32"/>
          <w:szCs w:val="32"/>
          <w:lang w:eastAsia="zh-CN"/>
        </w:rPr>
        <w:sectPr>
          <w:pgSz w:w="11906" w:h="16838"/>
          <w:pgMar w:top="1440" w:right="1800" w:bottom="1440" w:left="1800" w:header="851" w:footer="992" w:gutter="0"/>
          <w:cols w:space="425" w:num="1"/>
          <w:docGrid w:type="lines" w:linePitch="312" w:charSpace="0"/>
        </w:sectPr>
      </w:pPr>
    </w:p>
    <w:p>
      <w:pPr>
        <w:spacing w:line="300" w:lineRule="auto"/>
        <w:jc w:val="center"/>
        <w:outlineLvl w:val="0"/>
        <w:rPr>
          <w:rFonts w:ascii="Times New Roman" w:hAnsi="Times New Roman" w:eastAsia="黑体" w:cs="Times New Roman"/>
          <w:spacing w:val="-4"/>
          <w:w w:val="105"/>
          <w:sz w:val="32"/>
          <w:szCs w:val="32"/>
          <w:lang w:eastAsia="zh-CN"/>
        </w:rPr>
      </w:pPr>
      <w:bookmarkStart w:id="67" w:name="_Toc112070758"/>
      <w:r>
        <w:rPr>
          <w:rFonts w:ascii="Times New Roman" w:hAnsi="Times New Roman" w:eastAsia="黑体" w:cs="Times New Roman"/>
          <w:spacing w:val="-4"/>
          <w:w w:val="105"/>
          <w:sz w:val="32"/>
          <w:szCs w:val="32"/>
          <w:lang w:eastAsia="zh-CN"/>
        </w:rPr>
        <w:t>四、绩效评价指标分析</w:t>
      </w:r>
      <w:bookmarkEnd w:id="67"/>
    </w:p>
    <w:p>
      <w:pPr>
        <w:spacing w:line="300" w:lineRule="auto"/>
        <w:jc w:val="both"/>
        <w:outlineLvl w:val="1"/>
        <w:rPr>
          <w:rFonts w:ascii="Times New Roman" w:hAnsi="Times New Roman" w:eastAsia="仿宋_GB2312" w:cs="Times New Roman"/>
          <w:b/>
          <w:sz w:val="32"/>
          <w:szCs w:val="32"/>
          <w:lang w:eastAsia="zh-CN"/>
        </w:rPr>
      </w:pPr>
      <w:bookmarkStart w:id="68" w:name="_Toc112070759"/>
      <w:r>
        <w:rPr>
          <w:rFonts w:ascii="Times New Roman" w:hAnsi="Times New Roman" w:eastAsia="仿宋_GB2312" w:cs="Times New Roman"/>
          <w:b/>
          <w:sz w:val="32"/>
          <w:szCs w:val="32"/>
          <w:lang w:eastAsia="zh-CN"/>
        </w:rPr>
        <w:t>（一）项目决策情况</w:t>
      </w:r>
      <w:bookmarkEnd w:id="68"/>
    </w:p>
    <w:p>
      <w:pPr>
        <w:spacing w:line="300" w:lineRule="auto"/>
        <w:jc w:val="both"/>
        <w:outlineLvl w:val="2"/>
        <w:rPr>
          <w:rFonts w:ascii="Times New Roman" w:hAnsi="Times New Roman" w:eastAsia="仿宋_GB2312" w:cs="Times New Roman"/>
          <w:b/>
          <w:sz w:val="32"/>
          <w:szCs w:val="32"/>
          <w:lang w:eastAsia="zh-CN"/>
        </w:rPr>
      </w:pPr>
      <w:bookmarkStart w:id="69" w:name="_Toc405796691"/>
      <w:bookmarkStart w:id="70" w:name="_Toc373310206"/>
      <w:bookmarkStart w:id="71" w:name="_Toc107933405"/>
      <w:bookmarkStart w:id="72" w:name="_Toc83563133"/>
      <w:bookmarkStart w:id="73" w:name="_Toc63706268"/>
      <w:r>
        <w:rPr>
          <w:rFonts w:ascii="Times New Roman" w:hAnsi="Times New Roman" w:eastAsia="仿宋_GB2312" w:cs="Times New Roman"/>
          <w:b/>
          <w:sz w:val="32"/>
          <w:szCs w:val="32"/>
          <w:lang w:eastAsia="zh-CN"/>
        </w:rPr>
        <w:t>1.</w:t>
      </w:r>
      <w:bookmarkEnd w:id="69"/>
      <w:bookmarkEnd w:id="70"/>
      <w:r>
        <w:rPr>
          <w:rFonts w:ascii="Times New Roman" w:hAnsi="Times New Roman" w:eastAsia="仿宋_GB2312" w:cs="Times New Roman"/>
          <w:b/>
          <w:sz w:val="32"/>
          <w:szCs w:val="32"/>
          <w:lang w:eastAsia="zh-CN"/>
        </w:rPr>
        <w:t>立项依据充分性</w:t>
      </w:r>
      <w:bookmarkEnd w:id="71"/>
      <w:bookmarkEnd w:id="72"/>
      <w:bookmarkEnd w:id="73"/>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w:t>
      </w:r>
      <w:r>
        <w:rPr>
          <w:rFonts w:ascii="Times New Roman" w:hAnsi="Times New Roman" w:eastAsia="仿宋_GB2312" w:cs="Times New Roman"/>
          <w:sz w:val="32"/>
          <w:szCs w:val="32"/>
          <w:lang w:eastAsia="zh-CN"/>
        </w:rPr>
        <w:t>根据</w:t>
      </w:r>
      <w:r>
        <w:rPr>
          <w:rFonts w:hint="eastAsia" w:ascii="Times New Roman" w:hAnsi="Times New Roman" w:eastAsia="仿宋_GB2312" w:cs="Times New Roman"/>
          <w:sz w:val="32"/>
          <w:szCs w:val="32"/>
          <w:lang w:eastAsia="zh-CN"/>
        </w:rPr>
        <w:t>《中华人民共和国食品安全法实施条例》第五条规定：国家将食品安全知识纳入国民素质教育内容，普及食品安全科学常识和法律知识，提高全社会的食品安全意识。</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第二十条规定：食品生产经营企业应当加强对食品安全管理人员的培训和考核。食品安全管理人员应当掌握与其岗位相适应的食品安全法律、法规、标准和专业知识，具备食品安全管理能力。食品安全监督管理部门应当对企业食品安全管理人员进行随机监督抽查考核。考核指南由国务院食品安全监督管理部门制定、公布。本项目的立项符合国家法律法规的要求。</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w:t>
      </w:r>
      <w:r>
        <w:rPr>
          <w:rFonts w:ascii="Times New Roman" w:hAnsi="Times New Roman" w:eastAsia="仿宋_GB2312" w:cs="Times New Roman"/>
          <w:sz w:val="32"/>
          <w:szCs w:val="32"/>
          <w:lang w:eastAsia="zh-CN"/>
        </w:rPr>
        <w:t>根据</w:t>
      </w:r>
      <w:r>
        <w:rPr>
          <w:rFonts w:hint="eastAsia" w:ascii="Times New Roman" w:hAnsi="Times New Roman" w:eastAsia="仿宋_GB2312" w:cs="Times New Roman"/>
          <w:sz w:val="32"/>
          <w:szCs w:val="32"/>
          <w:lang w:eastAsia="zh-CN"/>
        </w:rPr>
        <w:t>国务院关于印发《“十三五”国家食品安全规划》（国发[2017]12号）文件中指出：地方各级政府要根据本规划确定的发展目标和主要任务，将食品安全工作纳入重要议事日程和本地区经济社会发展规划，切实落实监管有责、有岗、有人、有手段，履行日常监管、监督抽检责任。实行综合执法的地方要充实基层监管力量，将食品药品安全监管作为首要职责。</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加强消费者权益保护，增强消费者食品安全意识和自我保护能力，鼓励通过公益诉讼、依法适用民事诉讼简易程序等方式支持消费者维权。继续办好“全国食品安全宣传周”，将食品安全教育纳入国民教育体系，作为公民法制和科学常识普及、职业技能培训。</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同时依据中共天津市委 天津市人民政府印发的《关于进一步加强食品安全工作的措施》（津党发[2020]3号），天津市滨海新区人民政府办公室关于印发的《滨海新区国家食品安全示范区创建实施方案》《滨海新区国家农产品质量安全区创建实施方案》（津滨政办发[2018]45号）</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本项目的立项符合天津市相关法律法规及行业发展规划的政策要求。</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依据《天津东疆保税港区市场监督管理局（行政审批局、政务服务办公室、营商环境办公室）“三定”方案》，市场监督管理局为天津东疆保税港区法定机构内设部门，负责食品流通和餐饮服务的许可和食品安全监督管理。</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食品安全委员会负责研究部署、统筹指导区域食品安全工作。项目实施单位加挂食品安全委员会办公室，本项目与项目实施单位部门职责范围相符，属于部门履职需要。</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根据《国务院办公厅关于印发基本公共服务领域中央与地方共同财政事权和支出责任划分改革方案的通知》（国办发[2018]6号），本项目不属于纳入中央与地方共同财政事权范围的八大类18项，因此应按照《国务院关于推进中央与地方财政事权和支出责任划分改革的指导意见》（国发[2016]49号）、《国务院关于印发“十三五”推进基本公共服务均等化规划的通知》（国发[2017]9号），地方的财政事权由地方承担支出责任。属于地方的财政事权原则上由地方通过自有财力安排。天津市也发布了《天津市基本公共服务领域市与区共同财政事权和支出责任划分改革实施方案》（津政办发[2018]67号），将中央已明确的八大类18项基本公共服务领域中央与地方共同财政事权首先纳入市与区共同财政事权范围。本项目属于区级政府事权支出责任，符合中央、地方事权支出责任划分原则</w:t>
      </w:r>
      <w:r>
        <w:rPr>
          <w:rFonts w:ascii="Times New Roman" w:hAnsi="Times New Roman" w:eastAsia="仿宋_GB2312" w:cs="Times New Roman"/>
          <w:sz w:val="32"/>
          <w:szCs w:val="32"/>
          <w:lang w:eastAsia="zh-CN"/>
        </w:rPr>
        <w:t>。</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5）经与财政局确认，本项目与相关部门同类项目及项目实施单位内部相关项目不重复。</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本项目立项符合国家法律法规、行业发展规划和政策要求，与部门职责范围相符，属于部门履职所需</w:t>
      </w:r>
      <w:r>
        <w:rPr>
          <w:rFonts w:hint="eastAsia" w:ascii="Times New Roman" w:hAnsi="Times New Roman" w:eastAsia="仿宋_GB2312" w:cs="Times New Roman"/>
          <w:sz w:val="32"/>
          <w:szCs w:val="32"/>
          <w:lang w:eastAsia="zh-CN"/>
        </w:rPr>
        <w:t>，申请资金支持</w:t>
      </w:r>
      <w:r>
        <w:rPr>
          <w:rFonts w:ascii="Times New Roman" w:hAnsi="Times New Roman" w:eastAsia="仿宋_GB2312" w:cs="Times New Roman"/>
          <w:sz w:val="32"/>
          <w:szCs w:val="32"/>
          <w:lang w:eastAsia="zh-CN"/>
        </w:rPr>
        <w:t>属于公共财政支持范围，</w:t>
      </w:r>
      <w:r>
        <w:rPr>
          <w:rFonts w:hint="eastAsia" w:ascii="Times New Roman" w:hAnsi="Times New Roman" w:eastAsia="仿宋_GB2312" w:cs="Times New Roman"/>
          <w:sz w:val="32"/>
          <w:szCs w:val="32"/>
          <w:lang w:eastAsia="zh-CN"/>
        </w:rPr>
        <w:t>符合中央、地方事权支出责任划分原则，并未与部门内部相关项目重复，基本</w:t>
      </w:r>
      <w:r>
        <w:rPr>
          <w:rFonts w:ascii="Times New Roman" w:hAnsi="Times New Roman" w:eastAsia="仿宋_GB2312" w:cs="Times New Roman"/>
          <w:sz w:val="32"/>
          <w:szCs w:val="32"/>
          <w:lang w:eastAsia="zh-CN"/>
        </w:rPr>
        <w:t>符合评分标准要求</w:t>
      </w:r>
      <w:r>
        <w:rPr>
          <w:rFonts w:hint="eastAsia" w:ascii="Times New Roman" w:hAnsi="Times New Roman" w:eastAsia="仿宋_GB2312" w:cs="Times New Roman"/>
          <w:sz w:val="32"/>
          <w:szCs w:val="32"/>
          <w:lang w:eastAsia="zh-CN"/>
        </w:rPr>
        <w:t>。该项标准分值4分，实际得分为4分。</w:t>
      </w:r>
    </w:p>
    <w:p>
      <w:pPr>
        <w:spacing w:line="300" w:lineRule="auto"/>
        <w:jc w:val="both"/>
        <w:outlineLvl w:val="2"/>
        <w:rPr>
          <w:rFonts w:ascii="Times New Roman" w:hAnsi="Times New Roman" w:eastAsia="仿宋_GB2312" w:cs="Times New Roman"/>
          <w:b/>
          <w:sz w:val="32"/>
          <w:szCs w:val="32"/>
          <w:lang w:eastAsia="zh-CN"/>
        </w:rPr>
      </w:pPr>
      <w:bookmarkStart w:id="74" w:name="_Toc83563134"/>
      <w:bookmarkStart w:id="75" w:name="_Toc63706269"/>
      <w:bookmarkStart w:id="76" w:name="_Toc107933406"/>
      <w:r>
        <w:rPr>
          <w:rFonts w:ascii="Times New Roman" w:hAnsi="Times New Roman" w:eastAsia="仿宋_GB2312" w:cs="Times New Roman"/>
          <w:b/>
          <w:sz w:val="32"/>
          <w:szCs w:val="32"/>
          <w:lang w:eastAsia="zh-CN"/>
        </w:rPr>
        <w:t>2.立项程序规范性</w:t>
      </w:r>
      <w:bookmarkEnd w:id="74"/>
      <w:bookmarkEnd w:id="75"/>
      <w:bookmarkEnd w:id="76"/>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实施单位申报了2021年度部门中期调整预算编制说明，并获得了财政局批复（津东疆财预指[2021]31号）。项目预算资金申报符合《天津东疆保税港区管理委员会财政预算管理办法》的规定，审批文件及材料等内容较完整，预算较清晰，符合相关要求。</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食品安全协管服务经管委会领导批示同意，应急预案编修经应急委员会办公室发布通知，日常工作经费取得了财政局批复，因此项目进行了集体决策。</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本项目按照规定的程序申请设立，审批文件符合相关要求</w:t>
      </w:r>
      <w:r>
        <w:rPr>
          <w:rFonts w:hint="eastAsia" w:ascii="Times New Roman" w:hAnsi="Times New Roman" w:eastAsia="仿宋_GB2312" w:cs="Times New Roman"/>
          <w:sz w:val="32"/>
          <w:szCs w:val="32"/>
          <w:lang w:eastAsia="zh-CN"/>
        </w:rPr>
        <w:t>，事前经过必要的集体决策，基本</w:t>
      </w:r>
      <w:r>
        <w:rPr>
          <w:rFonts w:ascii="Times New Roman" w:hAnsi="Times New Roman" w:eastAsia="仿宋_GB2312" w:cs="Times New Roman"/>
          <w:sz w:val="32"/>
          <w:szCs w:val="32"/>
          <w:lang w:eastAsia="zh-CN"/>
        </w:rPr>
        <w:t>符合评分标准要求</w:t>
      </w:r>
      <w:r>
        <w:rPr>
          <w:rFonts w:hint="eastAsia" w:ascii="Times New Roman" w:hAnsi="Times New Roman" w:eastAsia="仿宋_GB2312" w:cs="Times New Roman"/>
          <w:sz w:val="32"/>
          <w:szCs w:val="32"/>
          <w:lang w:eastAsia="zh-CN"/>
        </w:rPr>
        <w:t>。该项标准分值4分，实际得分为4分。</w:t>
      </w:r>
    </w:p>
    <w:p>
      <w:pPr>
        <w:spacing w:line="300" w:lineRule="auto"/>
        <w:jc w:val="both"/>
        <w:outlineLvl w:val="2"/>
        <w:rPr>
          <w:rFonts w:ascii="Times New Roman" w:hAnsi="Times New Roman" w:eastAsia="仿宋_GB2312" w:cs="Times New Roman"/>
          <w:b/>
          <w:sz w:val="32"/>
          <w:szCs w:val="32"/>
          <w:lang w:eastAsia="zh-CN"/>
        </w:rPr>
      </w:pPr>
      <w:bookmarkStart w:id="77" w:name="_Toc107933407"/>
      <w:bookmarkStart w:id="78" w:name="_Toc63706270"/>
      <w:bookmarkStart w:id="79" w:name="_Toc83563135"/>
      <w:r>
        <w:rPr>
          <w:rFonts w:ascii="Times New Roman" w:hAnsi="Times New Roman" w:eastAsia="仿宋_GB2312" w:cs="Times New Roman"/>
          <w:b/>
          <w:sz w:val="32"/>
          <w:szCs w:val="32"/>
          <w:lang w:eastAsia="zh-CN"/>
        </w:rPr>
        <w:t>3.绩效目标合理性</w:t>
      </w:r>
      <w:bookmarkEnd w:id="77"/>
      <w:bookmarkEnd w:id="78"/>
      <w:bookmarkEnd w:id="79"/>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w:t>
      </w:r>
      <w:r>
        <w:rPr>
          <w:rFonts w:ascii="Times New Roman" w:hAnsi="Times New Roman" w:eastAsia="仿宋_GB2312" w:cs="Times New Roman"/>
          <w:sz w:val="32"/>
          <w:szCs w:val="32"/>
          <w:lang w:eastAsia="zh-CN"/>
        </w:rPr>
        <w:t>本项目</w:t>
      </w:r>
      <w:r>
        <w:rPr>
          <w:rFonts w:hint="eastAsia" w:ascii="Times New Roman" w:hAnsi="Times New Roman" w:eastAsia="仿宋_GB2312" w:cs="Times New Roman"/>
          <w:sz w:val="32"/>
          <w:szCs w:val="32"/>
          <w:lang w:eastAsia="zh-CN"/>
        </w:rPr>
        <w:t>设定了</w:t>
      </w:r>
      <w:r>
        <w:rPr>
          <w:rFonts w:ascii="Times New Roman" w:hAnsi="Times New Roman" w:eastAsia="仿宋_GB2312" w:cs="Times New Roman"/>
          <w:sz w:val="32"/>
          <w:szCs w:val="32"/>
          <w:lang w:eastAsia="zh-CN"/>
        </w:rPr>
        <w:t>绩效目标，</w:t>
      </w:r>
      <w:r>
        <w:rPr>
          <w:rFonts w:hint="eastAsia" w:ascii="Times New Roman" w:hAnsi="Times New Roman" w:eastAsia="仿宋_GB2312" w:cs="Times New Roman"/>
          <w:sz w:val="32"/>
          <w:szCs w:val="32"/>
          <w:lang w:eastAsia="zh-CN"/>
        </w:rPr>
        <w:t>项目实施单位</w:t>
      </w:r>
      <w:r>
        <w:rPr>
          <w:rFonts w:ascii="Times New Roman" w:hAnsi="Times New Roman" w:eastAsia="仿宋_GB2312" w:cs="Times New Roman"/>
          <w:sz w:val="32"/>
          <w:szCs w:val="32"/>
          <w:lang w:eastAsia="zh-CN"/>
        </w:rPr>
        <w:t>编制了《项目支出绩效目标申报表》</w:t>
      </w:r>
      <w:r>
        <w:rPr>
          <w:rFonts w:hint="eastAsia" w:ascii="Times New Roman" w:hAnsi="Times New Roman" w:eastAsia="仿宋_GB2312" w:cs="Times New Roman"/>
          <w:sz w:val="32"/>
          <w:szCs w:val="32"/>
          <w:lang w:eastAsia="zh-CN"/>
        </w:rPr>
        <w:t>，其中有各级绩效目标分类</w:t>
      </w:r>
      <w:r>
        <w:rPr>
          <w:rFonts w:ascii="Times New Roman" w:hAnsi="Times New Roman" w:eastAsia="仿宋_GB2312" w:cs="Times New Roman"/>
          <w:sz w:val="32"/>
          <w:szCs w:val="32"/>
          <w:lang w:eastAsia="zh-CN"/>
        </w:rPr>
        <w:t>。</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项目支出绩效目标申报表》中的三级指标对数量指标、质量指标、时效指标、成本指标、社会效益以及服务对象满意度等方面做出了划分列项，均与实际工作内容相关，成本指标与预算确定的项目投资额或资金量相匹配。</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highlight w:val="yellow"/>
          <w:lang w:eastAsia="zh-CN"/>
        </w:rPr>
      </w:pPr>
      <w:r>
        <w:rPr>
          <w:rFonts w:hint="eastAsia" w:ascii="Times New Roman" w:hAnsi="Times New Roman" w:eastAsia="仿宋_GB2312" w:cs="Times New Roman"/>
          <w:sz w:val="32"/>
          <w:szCs w:val="32"/>
          <w:lang w:eastAsia="zh-CN"/>
        </w:rPr>
        <w:t>本</w:t>
      </w:r>
      <w:r>
        <w:rPr>
          <w:rFonts w:ascii="Times New Roman" w:hAnsi="Times New Roman" w:eastAsia="仿宋_GB2312" w:cs="Times New Roman"/>
          <w:sz w:val="32"/>
          <w:szCs w:val="32"/>
          <w:lang w:eastAsia="zh-CN"/>
        </w:rPr>
        <w:t>项目</w:t>
      </w:r>
      <w:r>
        <w:rPr>
          <w:rFonts w:hint="eastAsia" w:ascii="Times New Roman" w:hAnsi="Times New Roman" w:eastAsia="仿宋_GB2312" w:cs="Times New Roman"/>
          <w:sz w:val="32"/>
          <w:szCs w:val="32"/>
          <w:lang w:eastAsia="zh-CN"/>
        </w:rPr>
        <w:t>设定了</w:t>
      </w:r>
      <w:r>
        <w:rPr>
          <w:rFonts w:ascii="Times New Roman" w:hAnsi="Times New Roman" w:eastAsia="仿宋_GB2312" w:cs="Times New Roman"/>
          <w:sz w:val="32"/>
          <w:szCs w:val="32"/>
          <w:lang w:eastAsia="zh-CN"/>
        </w:rPr>
        <w:t>绩效目标，</w:t>
      </w:r>
      <w:r>
        <w:rPr>
          <w:rFonts w:hint="eastAsia" w:ascii="Times New Roman" w:hAnsi="Times New Roman" w:eastAsia="仿宋_GB2312" w:cs="Times New Roman"/>
          <w:sz w:val="32"/>
          <w:szCs w:val="32"/>
          <w:lang w:eastAsia="zh-CN"/>
        </w:rPr>
        <w:t>且与实际工作内容具有较强的相关性，与预算确定的项目投资额或资金量相匹配。该项标准分值3分，实际得分为3分。</w:t>
      </w:r>
    </w:p>
    <w:p>
      <w:pPr>
        <w:spacing w:line="300" w:lineRule="auto"/>
        <w:jc w:val="both"/>
        <w:outlineLvl w:val="2"/>
        <w:rPr>
          <w:rFonts w:ascii="Times New Roman" w:hAnsi="Times New Roman" w:eastAsia="仿宋_GB2312" w:cs="Times New Roman"/>
          <w:b/>
          <w:sz w:val="32"/>
          <w:szCs w:val="32"/>
          <w:lang w:eastAsia="zh-CN"/>
        </w:rPr>
      </w:pPr>
      <w:bookmarkStart w:id="80" w:name="_Toc63706271"/>
      <w:bookmarkStart w:id="81" w:name="_Toc83563136"/>
      <w:bookmarkStart w:id="82" w:name="_Toc107933408"/>
      <w:r>
        <w:rPr>
          <w:rFonts w:ascii="Times New Roman" w:hAnsi="Times New Roman" w:eastAsia="仿宋_GB2312" w:cs="Times New Roman"/>
          <w:b/>
          <w:sz w:val="32"/>
          <w:szCs w:val="32"/>
          <w:lang w:eastAsia="zh-CN"/>
        </w:rPr>
        <w:t>4.绩效目标明确性</w:t>
      </w:r>
      <w:bookmarkEnd w:id="80"/>
      <w:bookmarkEnd w:id="81"/>
      <w:bookmarkEnd w:id="82"/>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食品安全委员会工作经费包括：食品安全协管服务、应急预案编制、食安办日常工作经费三项内容。项目实施单位编制的《项目支出绩效目标申报表》中各项指标都已细化为三级指标，指标值清晰、可度量。具体</w:t>
      </w:r>
      <w:r>
        <w:rPr>
          <w:rFonts w:ascii="Times New Roman" w:hAnsi="Times New Roman" w:eastAsia="仿宋_GB2312" w:cs="Times New Roman"/>
          <w:sz w:val="32"/>
          <w:szCs w:val="32"/>
          <w:lang w:eastAsia="zh-CN"/>
        </w:rPr>
        <w:t>指标值见表</w:t>
      </w:r>
      <w:r>
        <w:rPr>
          <w:rFonts w:hint="eastAsia" w:ascii="Times New Roman" w:hAnsi="Times New Roman" w:eastAsia="仿宋_GB2312" w:cs="Times New Roman"/>
          <w:sz w:val="32"/>
          <w:szCs w:val="32"/>
          <w:lang w:eastAsia="zh-CN"/>
        </w:rPr>
        <w:t>4.1。</w:t>
      </w:r>
    </w:p>
    <w:p>
      <w:pPr>
        <w:spacing w:line="300" w:lineRule="auto"/>
        <w:jc w:val="center"/>
        <w:rPr>
          <w:rFonts w:ascii="Times New Roman" w:hAnsi="Times New Roman" w:eastAsia="仿宋_GB2312" w:cs="Times New Roman"/>
          <w:sz w:val="30"/>
          <w:szCs w:val="30"/>
          <w:lang w:eastAsia="zh-CN"/>
        </w:rPr>
      </w:pPr>
      <w:r>
        <w:rPr>
          <w:rFonts w:hint="eastAsia" w:ascii="Times New Roman" w:hAnsi="Times New Roman" w:eastAsia="仿宋_GB2312" w:cs="Times New Roman"/>
          <w:sz w:val="30"/>
          <w:szCs w:val="30"/>
          <w:lang w:eastAsia="zh-CN"/>
        </w:rPr>
        <w:t>表4.1 绩效目标及指标值</w:t>
      </w:r>
    </w:p>
    <w:tbl>
      <w:tblPr>
        <w:tblStyle w:val="10"/>
        <w:tblW w:w="8117" w:type="dxa"/>
        <w:jc w:val="center"/>
        <w:tblLayout w:type="autofit"/>
        <w:tblCellMar>
          <w:top w:w="0" w:type="dxa"/>
          <w:left w:w="108" w:type="dxa"/>
          <w:bottom w:w="0" w:type="dxa"/>
          <w:right w:w="108" w:type="dxa"/>
        </w:tblCellMar>
      </w:tblPr>
      <w:tblGrid>
        <w:gridCol w:w="1607"/>
        <w:gridCol w:w="4242"/>
        <w:gridCol w:w="2268"/>
      </w:tblGrid>
      <w:tr>
        <w:tblPrEx>
          <w:tblCellMar>
            <w:top w:w="0" w:type="dxa"/>
            <w:left w:w="108" w:type="dxa"/>
            <w:bottom w:w="0" w:type="dxa"/>
            <w:right w:w="108" w:type="dxa"/>
          </w:tblCellMar>
        </w:tblPrEx>
        <w:trPr>
          <w:trHeight w:val="762" w:hRule="atLeast"/>
          <w:tblHeader/>
          <w:jc w:val="center"/>
        </w:trPr>
        <w:tc>
          <w:tcPr>
            <w:tcW w:w="160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color w:val="000000"/>
                <w:sz w:val="32"/>
                <w:szCs w:val="32"/>
                <w:lang w:eastAsia="zh-CN"/>
              </w:rPr>
            </w:pPr>
            <w:r>
              <w:rPr>
                <w:rFonts w:ascii="Times New Roman" w:hAnsi="Times New Roman" w:eastAsia="仿宋_GB2312" w:cs="Times New Roman"/>
                <w:b/>
                <w:color w:val="000000"/>
                <w:sz w:val="32"/>
                <w:szCs w:val="32"/>
                <w:lang w:eastAsia="zh-CN"/>
              </w:rPr>
              <w:t>二级指标</w:t>
            </w:r>
          </w:p>
        </w:tc>
        <w:tc>
          <w:tcPr>
            <w:tcW w:w="424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color w:val="000000"/>
                <w:sz w:val="32"/>
                <w:szCs w:val="32"/>
                <w:lang w:eastAsia="zh-CN"/>
              </w:rPr>
            </w:pPr>
            <w:r>
              <w:rPr>
                <w:rFonts w:ascii="Times New Roman" w:hAnsi="Times New Roman" w:eastAsia="仿宋_GB2312" w:cs="Times New Roman"/>
                <w:b/>
                <w:color w:val="000000"/>
                <w:sz w:val="32"/>
                <w:szCs w:val="32"/>
                <w:lang w:eastAsia="zh-CN"/>
              </w:rPr>
              <w:t>三级指标</w:t>
            </w:r>
          </w:p>
        </w:tc>
        <w:tc>
          <w:tcPr>
            <w:tcW w:w="22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color w:val="000000"/>
                <w:sz w:val="32"/>
                <w:szCs w:val="32"/>
                <w:lang w:eastAsia="zh-CN"/>
              </w:rPr>
            </w:pPr>
            <w:r>
              <w:rPr>
                <w:rFonts w:ascii="Times New Roman" w:hAnsi="Times New Roman" w:eastAsia="仿宋_GB2312" w:cs="Times New Roman"/>
                <w:b/>
                <w:color w:val="000000"/>
                <w:sz w:val="32"/>
                <w:szCs w:val="32"/>
                <w:lang w:eastAsia="zh-CN"/>
              </w:rPr>
              <w:t>指标值</w:t>
            </w:r>
          </w:p>
        </w:tc>
      </w:tr>
      <w:tr>
        <w:tblPrEx>
          <w:tblCellMar>
            <w:top w:w="0" w:type="dxa"/>
            <w:left w:w="108" w:type="dxa"/>
            <w:bottom w:w="0" w:type="dxa"/>
            <w:right w:w="108" w:type="dxa"/>
          </w:tblCellMar>
        </w:tblPrEx>
        <w:trPr>
          <w:trHeight w:val="762" w:hRule="atLeast"/>
          <w:jc w:val="center"/>
        </w:trPr>
        <w:tc>
          <w:tcPr>
            <w:tcW w:w="1607" w:type="dxa"/>
            <w:vMerge w:val="restart"/>
            <w:tcBorders>
              <w:top w:val="nil"/>
              <w:left w:val="single" w:color="auto" w:sz="4" w:space="0"/>
              <w:bottom w:val="single" w:color="000000" w:sz="4" w:space="0"/>
              <w:right w:val="nil"/>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数量指标</w:t>
            </w:r>
          </w:p>
        </w:tc>
        <w:tc>
          <w:tcPr>
            <w:tcW w:w="424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编制食品安全、药品器械</w:t>
            </w:r>
          </w:p>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应急预案</w:t>
            </w:r>
          </w:p>
        </w:tc>
        <w:tc>
          <w:tcPr>
            <w:tcW w:w="226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hint="eastAsia" w:ascii="仿宋_GB2312"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lang w:eastAsia="zh-CN"/>
              </w:rPr>
              <w:t>1项</w:t>
            </w:r>
          </w:p>
        </w:tc>
      </w:tr>
      <w:tr>
        <w:tblPrEx>
          <w:tblCellMar>
            <w:top w:w="0" w:type="dxa"/>
            <w:left w:w="108" w:type="dxa"/>
            <w:bottom w:w="0" w:type="dxa"/>
            <w:right w:w="108" w:type="dxa"/>
          </w:tblCellMar>
        </w:tblPrEx>
        <w:trPr>
          <w:trHeight w:val="762" w:hRule="atLeast"/>
          <w:jc w:val="center"/>
        </w:trPr>
        <w:tc>
          <w:tcPr>
            <w:tcW w:w="1607" w:type="dxa"/>
            <w:vMerge w:val="continue"/>
            <w:tcBorders>
              <w:top w:val="nil"/>
              <w:left w:val="single" w:color="auto" w:sz="4" w:space="0"/>
              <w:bottom w:val="single" w:color="000000" w:sz="4" w:space="0"/>
              <w:right w:val="nil"/>
            </w:tcBorders>
            <w:vAlign w:val="center"/>
          </w:tcPr>
          <w:p>
            <w:pPr>
              <w:widowControl/>
              <w:rPr>
                <w:rFonts w:ascii="Times New Roman" w:hAnsi="Times New Roman" w:eastAsia="仿宋_GB2312" w:cs="Times New Roman"/>
                <w:color w:val="000000"/>
                <w:sz w:val="32"/>
                <w:szCs w:val="32"/>
                <w:lang w:eastAsia="zh-CN"/>
              </w:rPr>
            </w:pPr>
          </w:p>
        </w:tc>
        <w:tc>
          <w:tcPr>
            <w:tcW w:w="424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检查辖区食品经营者覆盖率</w:t>
            </w:r>
          </w:p>
        </w:tc>
        <w:tc>
          <w:tcPr>
            <w:tcW w:w="226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100%</w:t>
            </w:r>
          </w:p>
        </w:tc>
      </w:tr>
      <w:tr>
        <w:tblPrEx>
          <w:tblCellMar>
            <w:top w:w="0" w:type="dxa"/>
            <w:left w:w="108" w:type="dxa"/>
            <w:bottom w:w="0" w:type="dxa"/>
            <w:right w:w="108" w:type="dxa"/>
          </w:tblCellMar>
        </w:tblPrEx>
        <w:trPr>
          <w:trHeight w:val="762" w:hRule="atLeast"/>
          <w:jc w:val="center"/>
        </w:trPr>
        <w:tc>
          <w:tcPr>
            <w:tcW w:w="1607"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质量指标</w:t>
            </w:r>
          </w:p>
        </w:tc>
        <w:tc>
          <w:tcPr>
            <w:tcW w:w="4242"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预案编制合理性</w:t>
            </w:r>
          </w:p>
        </w:tc>
        <w:tc>
          <w:tcPr>
            <w:tcW w:w="226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内容详实、具有可操作性</w:t>
            </w:r>
          </w:p>
        </w:tc>
      </w:tr>
      <w:tr>
        <w:tblPrEx>
          <w:tblCellMar>
            <w:top w:w="0" w:type="dxa"/>
            <w:left w:w="108" w:type="dxa"/>
            <w:bottom w:w="0" w:type="dxa"/>
            <w:right w:w="108" w:type="dxa"/>
          </w:tblCellMar>
        </w:tblPrEx>
        <w:trPr>
          <w:trHeight w:val="762" w:hRule="atLeast"/>
          <w:jc w:val="center"/>
        </w:trPr>
        <w:tc>
          <w:tcPr>
            <w:tcW w:w="1607" w:type="dxa"/>
            <w:vMerge w:val="continue"/>
            <w:tcBorders>
              <w:top w:val="nil"/>
              <w:left w:val="single" w:color="auto" w:sz="4" w:space="0"/>
              <w:bottom w:val="single" w:color="000000" w:sz="4" w:space="0"/>
              <w:right w:val="single" w:color="auto" w:sz="4" w:space="0"/>
            </w:tcBorders>
            <w:vAlign w:val="center"/>
          </w:tcPr>
          <w:p>
            <w:pPr>
              <w:widowControl/>
              <w:rPr>
                <w:rFonts w:ascii="Times New Roman" w:hAnsi="Times New Roman" w:eastAsia="仿宋_GB2312" w:cs="Times New Roman"/>
                <w:color w:val="000000"/>
                <w:sz w:val="32"/>
                <w:szCs w:val="32"/>
                <w:lang w:eastAsia="zh-CN"/>
              </w:rPr>
            </w:pPr>
          </w:p>
        </w:tc>
        <w:tc>
          <w:tcPr>
            <w:tcW w:w="4242"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宣传覆盖率</w:t>
            </w:r>
          </w:p>
        </w:tc>
        <w:tc>
          <w:tcPr>
            <w:tcW w:w="226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hint="eastAsia" w:ascii="仿宋_GB2312"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lang w:eastAsia="zh-CN"/>
              </w:rPr>
              <w:t>80%</w:t>
            </w:r>
          </w:p>
        </w:tc>
      </w:tr>
      <w:tr>
        <w:tblPrEx>
          <w:tblCellMar>
            <w:top w:w="0" w:type="dxa"/>
            <w:left w:w="108" w:type="dxa"/>
            <w:bottom w:w="0" w:type="dxa"/>
            <w:right w:w="108" w:type="dxa"/>
          </w:tblCellMar>
        </w:tblPrEx>
        <w:trPr>
          <w:trHeight w:val="762" w:hRule="atLeast"/>
          <w:jc w:val="center"/>
        </w:trPr>
        <w:tc>
          <w:tcPr>
            <w:tcW w:w="1607" w:type="dxa"/>
            <w:vMerge w:val="restart"/>
            <w:tcBorders>
              <w:top w:val="nil"/>
              <w:left w:val="single" w:color="auto" w:sz="4" w:space="0"/>
              <w:bottom w:val="single" w:color="000000" w:sz="4" w:space="0"/>
              <w:right w:val="nil"/>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时效指标</w:t>
            </w:r>
          </w:p>
        </w:tc>
        <w:tc>
          <w:tcPr>
            <w:tcW w:w="424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按时完成预案编制</w:t>
            </w:r>
          </w:p>
        </w:tc>
        <w:tc>
          <w:tcPr>
            <w:tcW w:w="226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2021年11月30日前完成</w:t>
            </w:r>
          </w:p>
        </w:tc>
      </w:tr>
      <w:tr>
        <w:tblPrEx>
          <w:tblCellMar>
            <w:top w:w="0" w:type="dxa"/>
            <w:left w:w="108" w:type="dxa"/>
            <w:bottom w:w="0" w:type="dxa"/>
            <w:right w:w="108" w:type="dxa"/>
          </w:tblCellMar>
        </w:tblPrEx>
        <w:trPr>
          <w:trHeight w:val="762" w:hRule="atLeast"/>
          <w:jc w:val="center"/>
        </w:trPr>
        <w:tc>
          <w:tcPr>
            <w:tcW w:w="1607" w:type="dxa"/>
            <w:vMerge w:val="continue"/>
            <w:tcBorders>
              <w:top w:val="nil"/>
              <w:left w:val="single" w:color="auto" w:sz="4" w:space="0"/>
              <w:bottom w:val="single" w:color="auto" w:sz="4" w:space="0"/>
              <w:right w:val="nil"/>
            </w:tcBorders>
            <w:vAlign w:val="center"/>
          </w:tcPr>
          <w:p>
            <w:pPr>
              <w:widowControl/>
              <w:rPr>
                <w:rFonts w:ascii="Times New Roman" w:hAnsi="Times New Roman" w:eastAsia="仿宋_GB2312" w:cs="Times New Roman"/>
                <w:color w:val="000000"/>
                <w:sz w:val="32"/>
                <w:szCs w:val="32"/>
                <w:lang w:eastAsia="zh-CN"/>
              </w:rPr>
            </w:pPr>
          </w:p>
        </w:tc>
        <w:tc>
          <w:tcPr>
            <w:tcW w:w="424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根据要求完成工作</w:t>
            </w:r>
          </w:p>
        </w:tc>
        <w:tc>
          <w:tcPr>
            <w:tcW w:w="226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2021年底前按时完成</w:t>
            </w:r>
          </w:p>
        </w:tc>
      </w:tr>
      <w:tr>
        <w:tblPrEx>
          <w:tblCellMar>
            <w:top w:w="0" w:type="dxa"/>
            <w:left w:w="108" w:type="dxa"/>
            <w:bottom w:w="0" w:type="dxa"/>
            <w:right w:w="108" w:type="dxa"/>
          </w:tblCellMar>
        </w:tblPrEx>
        <w:trPr>
          <w:trHeight w:val="762" w:hRule="atLeast"/>
          <w:jc w:val="center"/>
        </w:trPr>
        <w:tc>
          <w:tcPr>
            <w:tcW w:w="160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成本指标</w:t>
            </w:r>
          </w:p>
        </w:tc>
        <w:tc>
          <w:tcPr>
            <w:tcW w:w="424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服务费用</w:t>
            </w:r>
          </w:p>
        </w:tc>
        <w:tc>
          <w:tcPr>
            <w:tcW w:w="226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hint="eastAsia" w:ascii="仿宋_GB2312"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lang w:eastAsia="zh-CN"/>
              </w:rPr>
              <w:t>61.5万元</w:t>
            </w:r>
          </w:p>
        </w:tc>
      </w:tr>
      <w:tr>
        <w:tblPrEx>
          <w:tblCellMar>
            <w:top w:w="0" w:type="dxa"/>
            <w:left w:w="108" w:type="dxa"/>
            <w:bottom w:w="0" w:type="dxa"/>
            <w:right w:w="108" w:type="dxa"/>
          </w:tblCellMar>
        </w:tblPrEx>
        <w:trPr>
          <w:trHeight w:val="762" w:hRule="atLeast"/>
          <w:jc w:val="center"/>
        </w:trPr>
        <w:tc>
          <w:tcPr>
            <w:tcW w:w="160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社会效益指标</w:t>
            </w:r>
          </w:p>
        </w:tc>
        <w:tc>
          <w:tcPr>
            <w:tcW w:w="424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突发事件处置能力</w:t>
            </w:r>
          </w:p>
        </w:tc>
        <w:tc>
          <w:tcPr>
            <w:tcW w:w="226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有效提升</w:t>
            </w:r>
          </w:p>
        </w:tc>
      </w:tr>
      <w:tr>
        <w:tblPrEx>
          <w:tblCellMar>
            <w:top w:w="0" w:type="dxa"/>
            <w:left w:w="108" w:type="dxa"/>
            <w:bottom w:w="0" w:type="dxa"/>
            <w:right w:w="108" w:type="dxa"/>
          </w:tblCellMar>
        </w:tblPrEx>
        <w:trPr>
          <w:trHeight w:val="762" w:hRule="atLeast"/>
          <w:jc w:val="center"/>
        </w:trPr>
        <w:tc>
          <w:tcPr>
            <w:tcW w:w="1607" w:type="dxa"/>
            <w:vMerge w:val="continue"/>
            <w:tcBorders>
              <w:top w:val="nil"/>
              <w:left w:val="single" w:color="auto" w:sz="4" w:space="0"/>
              <w:bottom w:val="single" w:color="000000" w:sz="4" w:space="0"/>
              <w:right w:val="single" w:color="auto" w:sz="4" w:space="0"/>
            </w:tcBorders>
            <w:vAlign w:val="center"/>
          </w:tcPr>
          <w:p>
            <w:pPr>
              <w:widowControl/>
              <w:rPr>
                <w:rFonts w:ascii="Times New Roman" w:hAnsi="Times New Roman" w:eastAsia="仿宋_GB2312" w:cs="Times New Roman"/>
                <w:color w:val="000000"/>
                <w:sz w:val="32"/>
                <w:szCs w:val="32"/>
                <w:lang w:eastAsia="zh-CN"/>
              </w:rPr>
            </w:pPr>
          </w:p>
        </w:tc>
        <w:tc>
          <w:tcPr>
            <w:tcW w:w="4242"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食品安全宣传氛围</w:t>
            </w:r>
          </w:p>
        </w:tc>
        <w:tc>
          <w:tcPr>
            <w:tcW w:w="2268"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宣传氛围提升</w:t>
            </w:r>
          </w:p>
        </w:tc>
      </w:tr>
      <w:tr>
        <w:tblPrEx>
          <w:tblCellMar>
            <w:top w:w="0" w:type="dxa"/>
            <w:left w:w="108" w:type="dxa"/>
            <w:bottom w:w="0" w:type="dxa"/>
            <w:right w:w="108" w:type="dxa"/>
          </w:tblCellMar>
        </w:tblPrEx>
        <w:trPr>
          <w:trHeight w:val="1699" w:hRule="atLeast"/>
          <w:jc w:val="center"/>
        </w:trPr>
        <w:tc>
          <w:tcPr>
            <w:tcW w:w="160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服务对象满意度指标</w:t>
            </w:r>
          </w:p>
        </w:tc>
        <w:tc>
          <w:tcPr>
            <w:tcW w:w="424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lang w:eastAsia="zh-CN"/>
              </w:rPr>
              <w:t>人员满意度</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sz w:val="32"/>
                <w:szCs w:val="32"/>
                <w:lang w:eastAsia="zh-CN"/>
              </w:rPr>
            </w:pPr>
            <w:r>
              <w:rPr>
                <w:rFonts w:hint="eastAsia" w:ascii="仿宋_GB2312"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lang w:eastAsia="zh-CN"/>
              </w:rPr>
              <w:t>95%</w:t>
            </w:r>
          </w:p>
        </w:tc>
      </w:tr>
    </w:tbl>
    <w:p>
      <w:pPr>
        <w:spacing w:line="300" w:lineRule="auto"/>
        <w:jc w:val="both"/>
        <w:outlineLvl w:val="3"/>
        <w:rPr>
          <w:rFonts w:ascii="Times New Roman" w:hAnsi="Times New Roman" w:eastAsia="仿宋_GB2312" w:cs="Times New Roman"/>
          <w:sz w:val="32"/>
          <w:szCs w:val="32"/>
          <w:lang w:eastAsia="zh-CN"/>
        </w:rPr>
      </w:pP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w:t>
      </w:r>
      <w:r>
        <w:rPr>
          <w:rFonts w:hint="eastAsia" w:ascii="Times New Roman" w:hAnsi="Times New Roman" w:eastAsia="仿宋_GB2312" w:cs="Times New Roman"/>
          <w:sz w:val="32"/>
          <w:szCs w:val="32"/>
          <w:lang w:eastAsia="zh-CN"/>
        </w:rPr>
        <w:t>各项绩效指标</w:t>
      </w:r>
      <w:r>
        <w:rPr>
          <w:rFonts w:ascii="Times New Roman" w:hAnsi="Times New Roman" w:eastAsia="仿宋_GB2312" w:cs="Times New Roman"/>
          <w:sz w:val="32"/>
          <w:szCs w:val="32"/>
          <w:lang w:eastAsia="zh-CN"/>
        </w:rPr>
        <w:t>都被细化分解为具体的三级指标，</w:t>
      </w:r>
      <w:r>
        <w:rPr>
          <w:rFonts w:hint="eastAsia" w:ascii="Times New Roman" w:hAnsi="Times New Roman" w:eastAsia="仿宋_GB2312" w:cs="Times New Roman"/>
          <w:sz w:val="32"/>
          <w:szCs w:val="32"/>
          <w:lang w:eastAsia="zh-CN"/>
        </w:rPr>
        <w:t>绩效指标值实现了可度量，清晰明确。该项标准分值3分，实际得分为3分。</w:t>
      </w:r>
    </w:p>
    <w:p>
      <w:pPr>
        <w:spacing w:line="300" w:lineRule="auto"/>
        <w:jc w:val="both"/>
        <w:outlineLvl w:val="2"/>
        <w:rPr>
          <w:rFonts w:ascii="Times New Roman" w:hAnsi="Times New Roman" w:eastAsia="仿宋_GB2312" w:cs="Times New Roman"/>
          <w:b/>
          <w:sz w:val="32"/>
          <w:szCs w:val="32"/>
          <w:lang w:eastAsia="zh-CN"/>
        </w:rPr>
      </w:pPr>
      <w:bookmarkStart w:id="83" w:name="_Toc63706272"/>
      <w:bookmarkStart w:id="84" w:name="_Toc83563137"/>
      <w:bookmarkStart w:id="85" w:name="_Toc107933409"/>
      <w:r>
        <w:rPr>
          <w:rFonts w:ascii="Times New Roman" w:hAnsi="Times New Roman" w:eastAsia="仿宋_GB2312" w:cs="Times New Roman"/>
          <w:b/>
          <w:sz w:val="32"/>
          <w:szCs w:val="32"/>
          <w:lang w:eastAsia="zh-CN"/>
        </w:rPr>
        <w:t>5.预算编制科学性</w:t>
      </w:r>
      <w:bookmarkEnd w:id="83"/>
      <w:bookmarkEnd w:id="84"/>
      <w:bookmarkEnd w:id="85"/>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1）财政局聘请第三方专业机构对本项目预算进行审核，并出具了预算审核报告，本项目经过了科学有效的论证。</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2）经查阅本项目预算组成明细，均与本次项目内容相匹配</w:t>
      </w:r>
      <w:r>
        <w:rPr>
          <w:rFonts w:ascii="Times New Roman" w:hAnsi="Times New Roman" w:eastAsia="仿宋_GB2312" w:cs="Times New Roman"/>
          <w:sz w:val="32"/>
          <w:szCs w:val="32"/>
          <w:lang w:eastAsia="zh-CN"/>
        </w:rPr>
        <w:t>，且预算编制依据充分。</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本项目的预算编制经过科学论证，预算内容</w:t>
      </w:r>
      <w:r>
        <w:rPr>
          <w:rFonts w:hint="eastAsia" w:ascii="Times New Roman" w:hAnsi="Times New Roman" w:eastAsia="仿宋_GB2312" w:cs="Times New Roman"/>
          <w:sz w:val="32"/>
          <w:szCs w:val="32"/>
          <w:lang w:eastAsia="zh-CN"/>
        </w:rPr>
        <w:t>基本</w:t>
      </w:r>
      <w:r>
        <w:rPr>
          <w:rFonts w:ascii="Times New Roman" w:hAnsi="Times New Roman" w:eastAsia="仿宋_GB2312" w:cs="Times New Roman"/>
          <w:sz w:val="32"/>
          <w:szCs w:val="32"/>
          <w:lang w:eastAsia="zh-CN"/>
        </w:rPr>
        <w:t>与项目内容匹配</w:t>
      </w:r>
      <w:r>
        <w:rPr>
          <w:rFonts w:hint="eastAsia" w:ascii="Times New Roman" w:hAnsi="Times New Roman" w:eastAsia="仿宋_GB2312" w:cs="Times New Roman"/>
          <w:sz w:val="32"/>
          <w:szCs w:val="32"/>
          <w:lang w:eastAsia="zh-CN"/>
        </w:rPr>
        <w:t>，具备必要的测算依据。该项标准分值3分，实际得分为3分。</w:t>
      </w:r>
    </w:p>
    <w:p>
      <w:pPr>
        <w:spacing w:line="300" w:lineRule="auto"/>
        <w:jc w:val="both"/>
        <w:outlineLvl w:val="2"/>
        <w:rPr>
          <w:rFonts w:ascii="Times New Roman" w:hAnsi="Times New Roman" w:eastAsia="仿宋_GB2312" w:cs="Times New Roman"/>
          <w:b/>
          <w:sz w:val="32"/>
          <w:szCs w:val="32"/>
          <w:lang w:eastAsia="zh-CN"/>
        </w:rPr>
      </w:pPr>
      <w:bookmarkStart w:id="86" w:name="_Toc63706273"/>
      <w:bookmarkStart w:id="87" w:name="_Toc107933410"/>
      <w:bookmarkStart w:id="88" w:name="_Toc83563138"/>
      <w:r>
        <w:rPr>
          <w:rFonts w:ascii="Times New Roman" w:hAnsi="Times New Roman" w:eastAsia="仿宋_GB2312" w:cs="Times New Roman"/>
          <w:b/>
          <w:sz w:val="32"/>
          <w:szCs w:val="32"/>
          <w:lang w:eastAsia="zh-CN"/>
        </w:rPr>
        <w:t>6.资金分配合理性</w:t>
      </w:r>
      <w:bookmarkEnd w:id="86"/>
      <w:bookmarkEnd w:id="87"/>
      <w:bookmarkEnd w:id="88"/>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outlineLvl w:val="3"/>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市场局作为管委会的全额拨款单位，项目预算资金由财政局全额拨付，项目2021年度实际执行预算为</w:t>
      </w:r>
      <w:r>
        <w:rPr>
          <w:rFonts w:ascii="Times New Roman" w:hAnsi="Times New Roman" w:eastAsia="仿宋_GB2312" w:cs="Times New Roman"/>
          <w:sz w:val="32"/>
          <w:szCs w:val="32"/>
          <w:lang w:eastAsia="zh-CN"/>
        </w:rPr>
        <w:t>449952</w:t>
      </w:r>
      <w:r>
        <w:rPr>
          <w:rFonts w:hint="eastAsia" w:ascii="Times New Roman" w:hAnsi="Times New Roman" w:eastAsia="仿宋_GB2312" w:cs="Times New Roman"/>
          <w:sz w:val="32"/>
          <w:szCs w:val="32"/>
          <w:lang w:eastAsia="zh-CN"/>
        </w:rPr>
        <w:t>元，财政全年预算为</w:t>
      </w:r>
      <w:r>
        <w:rPr>
          <w:rFonts w:ascii="Times New Roman" w:hAnsi="Times New Roman" w:eastAsia="仿宋_GB2312" w:cs="Times New Roman"/>
          <w:sz w:val="32"/>
          <w:szCs w:val="32"/>
          <w:lang w:eastAsia="zh-CN"/>
        </w:rPr>
        <w:t>13708580000</w:t>
      </w:r>
      <w:r>
        <w:rPr>
          <w:rFonts w:hint="eastAsia" w:ascii="Times New Roman" w:hAnsi="Times New Roman" w:eastAsia="仿宋_GB2312" w:cs="Times New Roman"/>
          <w:sz w:val="32"/>
          <w:szCs w:val="32"/>
          <w:lang w:eastAsia="zh-CN"/>
        </w:rPr>
        <w:t>元，占财政预算的0.003%，在财政承受能力范围以内。</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本项目预算资金分配依据充分，分配额度合理，在地方财政承受能力范围之内。该项标准分值3分，实际得分为3分。</w:t>
      </w:r>
    </w:p>
    <w:p>
      <w:pPr>
        <w:spacing w:line="300" w:lineRule="auto"/>
        <w:jc w:val="both"/>
        <w:outlineLvl w:val="1"/>
        <w:rPr>
          <w:rFonts w:ascii="Times New Roman" w:hAnsi="Times New Roman" w:eastAsia="仿宋_GB2312" w:cs="Times New Roman"/>
          <w:b/>
          <w:sz w:val="32"/>
          <w:szCs w:val="32"/>
          <w:lang w:eastAsia="zh-CN"/>
        </w:rPr>
      </w:pPr>
      <w:bookmarkStart w:id="89" w:name="_Toc112070760"/>
      <w:r>
        <w:rPr>
          <w:rFonts w:ascii="Times New Roman" w:hAnsi="Times New Roman" w:eastAsia="仿宋_GB2312" w:cs="Times New Roman"/>
          <w:b/>
          <w:sz w:val="32"/>
          <w:szCs w:val="32"/>
          <w:lang w:eastAsia="zh-CN"/>
        </w:rPr>
        <w:t>（二）项目过程情况</w:t>
      </w:r>
      <w:bookmarkEnd w:id="89"/>
    </w:p>
    <w:p>
      <w:pPr>
        <w:spacing w:line="300" w:lineRule="auto"/>
        <w:jc w:val="both"/>
        <w:outlineLvl w:val="2"/>
        <w:rPr>
          <w:rFonts w:ascii="Times New Roman" w:hAnsi="Times New Roman" w:eastAsia="仿宋_GB2312" w:cs="Times New Roman"/>
          <w:b/>
          <w:sz w:val="32"/>
          <w:szCs w:val="32"/>
          <w:lang w:eastAsia="zh-CN"/>
        </w:rPr>
      </w:pPr>
      <w:bookmarkStart w:id="90" w:name="_Toc63706275"/>
      <w:bookmarkStart w:id="91" w:name="_Toc107933412"/>
      <w:bookmarkStart w:id="92" w:name="_Toc83563140"/>
      <w:r>
        <w:rPr>
          <w:rFonts w:ascii="Times New Roman" w:hAnsi="Times New Roman" w:eastAsia="仿宋_GB2312" w:cs="Times New Roman"/>
          <w:b/>
          <w:sz w:val="32"/>
          <w:szCs w:val="32"/>
          <w:lang w:eastAsia="zh-CN"/>
        </w:rPr>
        <w:t>1.资金到位率</w:t>
      </w:r>
      <w:bookmarkEnd w:id="90"/>
      <w:bookmarkEnd w:id="91"/>
      <w:bookmarkEnd w:id="92"/>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经查阅本项目的拨付预算资金通知，拨付预算资金</w:t>
      </w:r>
      <w:r>
        <w:rPr>
          <w:rFonts w:ascii="Times New Roman" w:hAnsi="Times New Roman" w:eastAsia="仿宋_GB2312" w:cs="Times New Roman"/>
          <w:sz w:val="32"/>
          <w:szCs w:val="32"/>
          <w:lang w:eastAsia="zh-CN"/>
        </w:rPr>
        <w:t>为501430.50</w:t>
      </w:r>
      <w:r>
        <w:rPr>
          <w:rFonts w:hint="eastAsia" w:ascii="Times New Roman" w:hAnsi="Times New Roman" w:eastAsia="仿宋_GB2312" w:cs="Times New Roman"/>
          <w:sz w:val="32"/>
          <w:szCs w:val="32"/>
          <w:lang w:eastAsia="zh-CN"/>
        </w:rPr>
        <w:t>元，实际到位资金为</w:t>
      </w:r>
      <w:r>
        <w:rPr>
          <w:rFonts w:ascii="Times New Roman" w:hAnsi="Times New Roman" w:eastAsia="仿宋_GB2312" w:cs="Times New Roman"/>
          <w:sz w:val="32"/>
          <w:szCs w:val="32"/>
          <w:lang w:eastAsia="zh-CN"/>
        </w:rPr>
        <w:t>501430.50</w:t>
      </w:r>
      <w:r>
        <w:rPr>
          <w:rFonts w:hint="eastAsia" w:ascii="Times New Roman" w:hAnsi="Times New Roman" w:eastAsia="仿宋_GB2312" w:cs="Times New Roman"/>
          <w:sz w:val="32"/>
          <w:szCs w:val="32"/>
          <w:lang w:eastAsia="zh-CN"/>
        </w:rPr>
        <w:t>元，资金到位率为100%。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本项目资金到位率为</w:t>
      </w:r>
      <w:r>
        <w:rPr>
          <w:rFonts w:hint="eastAsia" w:ascii="Times New Roman" w:hAnsi="Times New Roman" w:eastAsia="仿宋_GB2312" w:cs="Times New Roman"/>
          <w:sz w:val="32"/>
          <w:szCs w:val="32"/>
          <w:lang w:eastAsia="zh-CN"/>
        </w:rPr>
        <w:t>100%，该项标准分值4分，实际</w:t>
      </w:r>
      <w:r>
        <w:rPr>
          <w:rFonts w:ascii="Times New Roman" w:hAnsi="Times New Roman" w:eastAsia="仿宋_GB2312" w:cs="Times New Roman"/>
          <w:sz w:val="32"/>
          <w:szCs w:val="32"/>
          <w:lang w:eastAsia="zh-CN"/>
        </w:rPr>
        <w:t>得分</w:t>
      </w:r>
      <w:r>
        <w:rPr>
          <w:rFonts w:hint="eastAsia" w:ascii="Times New Roman" w:hAnsi="Times New Roman" w:eastAsia="仿宋_GB2312" w:cs="Times New Roman"/>
          <w:sz w:val="32"/>
          <w:szCs w:val="32"/>
          <w:lang w:eastAsia="zh-CN"/>
        </w:rPr>
        <w:t>为4</w:t>
      </w:r>
      <w:r>
        <w:rPr>
          <w:rFonts w:ascii="Times New Roman" w:hAnsi="Times New Roman" w:eastAsia="仿宋_GB2312" w:cs="Times New Roman"/>
          <w:sz w:val="32"/>
          <w:szCs w:val="32"/>
          <w:lang w:eastAsia="zh-CN"/>
        </w:rPr>
        <w:t>分</w:t>
      </w:r>
      <w:r>
        <w:rPr>
          <w:rFonts w:hint="eastAsia" w:ascii="Times New Roman" w:hAnsi="Times New Roman" w:eastAsia="仿宋_GB2312" w:cs="Times New Roman"/>
          <w:sz w:val="32"/>
          <w:szCs w:val="32"/>
          <w:lang w:eastAsia="zh-CN"/>
        </w:rPr>
        <w:t>。</w:t>
      </w:r>
    </w:p>
    <w:p>
      <w:pPr>
        <w:spacing w:line="300" w:lineRule="auto"/>
        <w:jc w:val="both"/>
        <w:outlineLvl w:val="2"/>
        <w:rPr>
          <w:rFonts w:ascii="Times New Roman" w:hAnsi="Times New Roman" w:eastAsia="仿宋_GB2312" w:cs="Times New Roman"/>
          <w:b/>
          <w:sz w:val="32"/>
          <w:szCs w:val="32"/>
          <w:lang w:eastAsia="zh-CN"/>
        </w:rPr>
      </w:pPr>
      <w:bookmarkStart w:id="93" w:name="_Toc107933413"/>
      <w:bookmarkStart w:id="94" w:name="_Toc83563141"/>
      <w:bookmarkStart w:id="95" w:name="_Toc63706276"/>
      <w:r>
        <w:rPr>
          <w:rFonts w:ascii="Times New Roman" w:hAnsi="Times New Roman" w:eastAsia="仿宋_GB2312" w:cs="Times New Roman"/>
          <w:b/>
          <w:sz w:val="32"/>
          <w:szCs w:val="32"/>
          <w:lang w:eastAsia="zh-CN"/>
        </w:rPr>
        <w:t>2.预算执行率</w:t>
      </w:r>
      <w:bookmarkEnd w:id="93"/>
      <w:bookmarkEnd w:id="94"/>
      <w:bookmarkEnd w:id="95"/>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经查阅</w:t>
      </w:r>
      <w:r>
        <w:rPr>
          <w:rFonts w:ascii="Times New Roman" w:hAnsi="Times New Roman" w:eastAsia="仿宋_GB2312" w:cs="Times New Roman"/>
          <w:sz w:val="32"/>
          <w:szCs w:val="32"/>
          <w:lang w:eastAsia="zh-CN"/>
        </w:rPr>
        <w:t>本项目的</w:t>
      </w:r>
      <w:r>
        <w:rPr>
          <w:rFonts w:hint="eastAsia" w:ascii="Times New Roman" w:hAnsi="Times New Roman" w:eastAsia="仿宋_GB2312" w:cs="Times New Roman"/>
          <w:sz w:val="32"/>
          <w:szCs w:val="32"/>
          <w:lang w:eastAsia="zh-CN"/>
        </w:rPr>
        <w:t>财务</w:t>
      </w:r>
      <w:r>
        <w:rPr>
          <w:rFonts w:ascii="Times New Roman" w:hAnsi="Times New Roman" w:eastAsia="仿宋_GB2312" w:cs="Times New Roman"/>
          <w:sz w:val="32"/>
          <w:szCs w:val="32"/>
          <w:lang w:eastAsia="zh-CN"/>
        </w:rPr>
        <w:t>记账凭证</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实际支出资金为449952</w:t>
      </w:r>
      <w:r>
        <w:rPr>
          <w:rFonts w:hint="eastAsia" w:ascii="Times New Roman" w:hAnsi="Times New Roman" w:eastAsia="仿宋_GB2312" w:cs="Times New Roman"/>
          <w:sz w:val="32"/>
          <w:szCs w:val="32"/>
          <w:lang w:eastAsia="zh-CN"/>
        </w:rPr>
        <w:t>元，全年预算资金为</w:t>
      </w:r>
      <w:r>
        <w:rPr>
          <w:rFonts w:ascii="Times New Roman" w:hAnsi="Times New Roman" w:eastAsia="仿宋_GB2312" w:cs="Times New Roman"/>
          <w:sz w:val="32"/>
          <w:szCs w:val="32"/>
          <w:lang w:eastAsia="zh-CN"/>
        </w:rPr>
        <w:t>615000</w:t>
      </w:r>
      <w:r>
        <w:rPr>
          <w:rFonts w:hint="eastAsia" w:ascii="Times New Roman" w:hAnsi="Times New Roman" w:eastAsia="仿宋_GB2312" w:cs="Times New Roman"/>
          <w:sz w:val="32"/>
          <w:szCs w:val="32"/>
          <w:lang w:eastAsia="zh-CN"/>
        </w:rPr>
        <w:t>元，预算执行率=（</w:t>
      </w:r>
      <w:r>
        <w:rPr>
          <w:rFonts w:ascii="Times New Roman" w:hAnsi="Times New Roman" w:eastAsia="仿宋_GB2312" w:cs="Times New Roman"/>
          <w:sz w:val="32"/>
          <w:szCs w:val="32"/>
          <w:lang w:eastAsia="zh-CN"/>
        </w:rPr>
        <w:t>449952</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615000</w:t>
      </w:r>
      <w:r>
        <w:rPr>
          <w:rFonts w:hint="eastAsia" w:ascii="Times New Roman" w:hAnsi="Times New Roman" w:eastAsia="仿宋_GB2312" w:cs="Times New Roman"/>
          <w:sz w:val="32"/>
          <w:szCs w:val="32"/>
          <w:lang w:eastAsia="zh-CN"/>
        </w:rPr>
        <w:t>）×100%=73.16%。</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本项目预算执行率为</w:t>
      </w:r>
      <w:r>
        <w:rPr>
          <w:rFonts w:hint="eastAsia" w:ascii="Times New Roman" w:hAnsi="Times New Roman" w:eastAsia="仿宋_GB2312" w:cs="Times New Roman"/>
          <w:sz w:val="32"/>
          <w:szCs w:val="32"/>
          <w:lang w:eastAsia="zh-CN"/>
        </w:rPr>
        <w:t>73.16%，该项标准分值为4分，实际</w:t>
      </w:r>
      <w:r>
        <w:rPr>
          <w:rFonts w:ascii="Times New Roman" w:hAnsi="Times New Roman" w:eastAsia="仿宋_GB2312" w:cs="Times New Roman"/>
          <w:sz w:val="32"/>
          <w:szCs w:val="32"/>
          <w:lang w:eastAsia="zh-CN"/>
        </w:rPr>
        <w:t>得分</w:t>
      </w:r>
      <w:r>
        <w:rPr>
          <w:rFonts w:hint="eastAsia" w:ascii="Times New Roman" w:hAnsi="Times New Roman" w:eastAsia="仿宋_GB2312" w:cs="Times New Roman"/>
          <w:sz w:val="32"/>
          <w:szCs w:val="32"/>
          <w:lang w:eastAsia="zh-CN"/>
        </w:rPr>
        <w:t>为4×73.16%=2.93</w:t>
      </w:r>
      <w:r>
        <w:rPr>
          <w:rFonts w:ascii="Times New Roman" w:hAnsi="Times New Roman" w:eastAsia="仿宋_GB2312" w:cs="Times New Roman"/>
          <w:sz w:val="32"/>
          <w:szCs w:val="32"/>
          <w:lang w:eastAsia="zh-CN"/>
        </w:rPr>
        <w:t>分</w:t>
      </w:r>
      <w:r>
        <w:rPr>
          <w:rFonts w:hint="eastAsia" w:ascii="Times New Roman" w:hAnsi="Times New Roman" w:eastAsia="仿宋_GB2312" w:cs="Times New Roman"/>
          <w:sz w:val="32"/>
          <w:szCs w:val="32"/>
          <w:lang w:eastAsia="zh-CN"/>
        </w:rPr>
        <w:t>。</w:t>
      </w:r>
    </w:p>
    <w:p>
      <w:pPr>
        <w:spacing w:line="300" w:lineRule="auto"/>
        <w:jc w:val="both"/>
        <w:outlineLvl w:val="2"/>
        <w:rPr>
          <w:rFonts w:ascii="Times New Roman" w:hAnsi="Times New Roman" w:eastAsia="仿宋_GB2312" w:cs="Times New Roman"/>
          <w:b/>
          <w:sz w:val="32"/>
          <w:szCs w:val="32"/>
          <w:lang w:eastAsia="zh-CN"/>
        </w:rPr>
      </w:pPr>
      <w:bookmarkStart w:id="96" w:name="_Toc63706277"/>
      <w:bookmarkStart w:id="97" w:name="_Toc107933414"/>
      <w:bookmarkStart w:id="98" w:name="_Toc83563142"/>
      <w:r>
        <w:rPr>
          <w:rFonts w:ascii="Times New Roman" w:hAnsi="Times New Roman" w:eastAsia="仿宋_GB2312" w:cs="Times New Roman"/>
          <w:b/>
          <w:sz w:val="32"/>
          <w:szCs w:val="32"/>
          <w:lang w:eastAsia="zh-CN"/>
        </w:rPr>
        <w:t>3.资金使用合规性</w:t>
      </w:r>
      <w:bookmarkEnd w:id="96"/>
      <w:bookmarkEnd w:id="97"/>
      <w:bookmarkEnd w:id="98"/>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1）本项目的预算编制符合《中华人民共和国预算法》《天津东疆保税港区管理委员会财政预算管理暂行办法》等法律法规和政策办法进行部门预算的编制。本项目符合国家财政法规和财务管理制度。</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2）本项目资金申请审批文件齐全</w:t>
      </w:r>
      <w:r>
        <w:rPr>
          <w:rFonts w:ascii="Times New Roman" w:hAnsi="Times New Roman" w:eastAsia="仿宋_GB2312" w:cs="Times New Roman"/>
          <w:sz w:val="32"/>
          <w:szCs w:val="32"/>
          <w:lang w:eastAsia="zh-CN"/>
        </w:rPr>
        <w:t>，符合审批文件的相关要求</w:t>
      </w:r>
      <w:r>
        <w:rPr>
          <w:rFonts w:hint="eastAsia" w:ascii="Times New Roman" w:hAnsi="Times New Roman" w:eastAsia="仿宋_GB2312" w:cs="Times New Roman"/>
          <w:sz w:val="32"/>
          <w:szCs w:val="32"/>
          <w:lang w:eastAsia="zh-CN"/>
        </w:rPr>
        <w:t>，申请批复文件如下表4.2所示。</w:t>
      </w:r>
    </w:p>
    <w:p>
      <w:pPr>
        <w:spacing w:line="360" w:lineRule="auto"/>
        <w:jc w:val="center"/>
        <w:rPr>
          <w:rFonts w:ascii="Times New Roman" w:hAnsi="Times New Roman" w:eastAsia="仿宋_GB2312" w:cs="Times New Roman"/>
          <w:sz w:val="28"/>
          <w:szCs w:val="28"/>
          <w:lang w:eastAsia="zh-CN"/>
        </w:rPr>
      </w:pPr>
      <w:r>
        <w:rPr>
          <w:rFonts w:ascii="Times New Roman" w:hAnsi="Times New Roman" w:eastAsia="仿宋_GB2312" w:cs="Times New Roman"/>
          <w:sz w:val="28"/>
          <w:szCs w:val="28"/>
          <w:lang w:eastAsia="zh-CN"/>
        </w:rPr>
        <w:t>表</w:t>
      </w:r>
      <w:r>
        <w:rPr>
          <w:rFonts w:hint="eastAsia" w:ascii="Times New Roman" w:hAnsi="Times New Roman" w:eastAsia="仿宋_GB2312" w:cs="Times New Roman"/>
          <w:sz w:val="28"/>
          <w:szCs w:val="28"/>
          <w:lang w:eastAsia="zh-CN"/>
        </w:rPr>
        <w:t>4</w:t>
      </w:r>
      <w:r>
        <w:rPr>
          <w:rFonts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eastAsia="zh-CN"/>
        </w:rPr>
        <w:t>2</w:t>
      </w:r>
      <w:r>
        <w:rPr>
          <w:rFonts w:ascii="Times New Roman" w:hAnsi="Times New Roman" w:eastAsia="仿宋_GB2312" w:cs="Times New Roman"/>
          <w:sz w:val="28"/>
          <w:szCs w:val="28"/>
          <w:lang w:eastAsia="zh-CN"/>
        </w:rPr>
        <w:t xml:space="preserve"> </w:t>
      </w:r>
      <w:r>
        <w:rPr>
          <w:rFonts w:hint="eastAsia" w:ascii="Times New Roman" w:hAnsi="Times New Roman" w:eastAsia="仿宋_GB2312" w:cs="Times New Roman"/>
          <w:sz w:val="28"/>
          <w:szCs w:val="28"/>
          <w:lang w:eastAsia="zh-CN"/>
        </w:rPr>
        <w:t>项目资金批复文件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2497"/>
        <w:gridCol w:w="2634"/>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2"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序号</w:t>
            </w:r>
          </w:p>
        </w:tc>
        <w:tc>
          <w:tcPr>
            <w:tcW w:w="2497"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申请文件</w:t>
            </w:r>
          </w:p>
        </w:tc>
        <w:tc>
          <w:tcPr>
            <w:tcW w:w="2634"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审批文件</w:t>
            </w:r>
          </w:p>
        </w:tc>
        <w:tc>
          <w:tcPr>
            <w:tcW w:w="2236"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批复金额（元）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992"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1</w:t>
            </w:r>
          </w:p>
        </w:tc>
        <w:tc>
          <w:tcPr>
            <w:tcW w:w="2497"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津东疆市场发[2021]258号</w:t>
            </w:r>
          </w:p>
        </w:tc>
        <w:tc>
          <w:tcPr>
            <w:tcW w:w="2634"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sz w:val="28"/>
                <w:szCs w:val="28"/>
                <w:lang w:eastAsia="zh-CN"/>
              </w:rPr>
              <w:t>津东疆财预</w:t>
            </w:r>
            <w:r>
              <w:rPr>
                <w:rFonts w:ascii="Times New Roman" w:hAnsi="Times New Roman" w:eastAsia="仿宋_GB2312"/>
                <w:sz w:val="28"/>
                <w:szCs w:val="28"/>
                <w:lang w:eastAsia="zh-CN"/>
              </w:rPr>
              <w:t>[20</w:t>
            </w:r>
            <w:r>
              <w:rPr>
                <w:rFonts w:hint="eastAsia" w:ascii="Times New Roman" w:hAnsi="Times New Roman" w:eastAsia="仿宋_GB2312"/>
                <w:sz w:val="28"/>
                <w:szCs w:val="28"/>
                <w:lang w:eastAsia="zh-CN"/>
              </w:rPr>
              <w:t>21</w:t>
            </w:r>
            <w:r>
              <w:rPr>
                <w:rFonts w:ascii="Times New Roman" w:hAnsi="Times New Roman" w:eastAsia="仿宋_GB2312"/>
                <w:sz w:val="28"/>
                <w:szCs w:val="28"/>
                <w:lang w:eastAsia="zh-CN"/>
              </w:rPr>
              <w:t>]</w:t>
            </w:r>
            <w:r>
              <w:rPr>
                <w:rFonts w:hint="eastAsia" w:ascii="Times New Roman" w:hAnsi="Times New Roman" w:eastAsia="仿宋_GB2312"/>
                <w:sz w:val="28"/>
                <w:szCs w:val="28"/>
                <w:lang w:eastAsia="zh-CN"/>
              </w:rPr>
              <w:t>759号</w:t>
            </w:r>
          </w:p>
        </w:tc>
        <w:tc>
          <w:tcPr>
            <w:tcW w:w="2236"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391430.50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992"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2</w:t>
            </w:r>
          </w:p>
        </w:tc>
        <w:tc>
          <w:tcPr>
            <w:tcW w:w="2497"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津东疆市场发[2021]263号</w:t>
            </w:r>
          </w:p>
        </w:tc>
        <w:tc>
          <w:tcPr>
            <w:tcW w:w="2634"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sz w:val="28"/>
                <w:szCs w:val="28"/>
                <w:lang w:eastAsia="zh-CN"/>
              </w:rPr>
              <w:t>津东疆财预</w:t>
            </w:r>
            <w:r>
              <w:rPr>
                <w:rFonts w:ascii="Times New Roman" w:hAnsi="Times New Roman" w:eastAsia="仿宋_GB2312"/>
                <w:sz w:val="28"/>
                <w:szCs w:val="28"/>
                <w:lang w:eastAsia="zh-CN"/>
              </w:rPr>
              <w:t>[</w:t>
            </w:r>
            <w:r>
              <w:rPr>
                <w:rFonts w:hint="eastAsia" w:ascii="Times New Roman" w:hAnsi="Times New Roman" w:eastAsia="仿宋_GB2312"/>
                <w:sz w:val="28"/>
                <w:szCs w:val="28"/>
                <w:lang w:eastAsia="zh-CN"/>
              </w:rPr>
              <w:t>2021</w:t>
            </w:r>
            <w:r>
              <w:rPr>
                <w:rFonts w:ascii="Times New Roman" w:hAnsi="Times New Roman" w:eastAsia="仿宋_GB2312"/>
                <w:sz w:val="28"/>
                <w:szCs w:val="28"/>
                <w:lang w:eastAsia="zh-CN"/>
              </w:rPr>
              <w:t>]</w:t>
            </w:r>
            <w:r>
              <w:rPr>
                <w:rFonts w:hint="eastAsia" w:ascii="Times New Roman" w:hAnsi="Times New Roman" w:eastAsia="仿宋_GB2312"/>
                <w:sz w:val="28"/>
                <w:szCs w:val="28"/>
                <w:lang w:eastAsia="zh-CN"/>
              </w:rPr>
              <w:t>812号</w:t>
            </w:r>
          </w:p>
        </w:tc>
        <w:tc>
          <w:tcPr>
            <w:tcW w:w="2236"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110000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23" w:type="dxa"/>
            <w:gridSpan w:val="3"/>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合计</w:t>
            </w:r>
          </w:p>
        </w:tc>
        <w:tc>
          <w:tcPr>
            <w:tcW w:w="2236"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b/>
                <w:sz w:val="28"/>
                <w:szCs w:val="28"/>
                <w:lang w:eastAsia="zh-CN"/>
              </w:rPr>
              <w:t>501430.50</w:t>
            </w:r>
          </w:p>
        </w:tc>
      </w:tr>
    </w:tbl>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宋体" w:cs="Times New Roman"/>
          <w:sz w:val="32"/>
          <w:szCs w:val="32"/>
          <w:lang w:eastAsia="zh-CN"/>
        </w:rPr>
        <w:t>3）</w:t>
      </w:r>
      <w:r>
        <w:rPr>
          <w:rFonts w:hint="eastAsia" w:ascii="Times New Roman" w:hAnsi="Times New Roman" w:eastAsia="仿宋_GB2312" w:cs="Times New Roman"/>
          <w:sz w:val="32"/>
          <w:szCs w:val="32"/>
          <w:lang w:eastAsia="zh-CN"/>
        </w:rPr>
        <w:t>项目实施单位经过预算审核后，分别与各服务单位</w:t>
      </w:r>
      <w:r>
        <w:rPr>
          <w:rFonts w:ascii="Times New Roman" w:hAnsi="Times New Roman" w:eastAsia="仿宋_GB2312" w:cs="Times New Roman"/>
          <w:sz w:val="32"/>
          <w:szCs w:val="32"/>
          <w:lang w:eastAsia="zh-CN"/>
        </w:rPr>
        <w:t>签订了</w:t>
      </w:r>
      <w:r>
        <w:rPr>
          <w:rFonts w:hint="eastAsia" w:ascii="Times New Roman" w:hAnsi="Times New Roman" w:eastAsia="仿宋_GB2312" w:cs="Times New Roman"/>
          <w:sz w:val="32"/>
          <w:szCs w:val="32"/>
          <w:lang w:eastAsia="zh-CN"/>
        </w:rPr>
        <w:t>委托服务合同</w:t>
      </w:r>
      <w:r>
        <w:rPr>
          <w:rFonts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合同的</w:t>
      </w:r>
      <w:r>
        <w:rPr>
          <w:rFonts w:ascii="Times New Roman" w:hAnsi="Times New Roman" w:eastAsia="仿宋_GB2312" w:cs="Times New Roman"/>
          <w:sz w:val="32"/>
          <w:szCs w:val="32"/>
          <w:lang w:eastAsia="zh-CN"/>
        </w:rPr>
        <w:t>服务内容与申请和审批文件相符。</w:t>
      </w:r>
    </w:p>
    <w:p>
      <w:pPr>
        <w:spacing w:line="300" w:lineRule="auto"/>
        <w:ind w:firstLine="640" w:firstLineChars="200"/>
        <w:jc w:val="both"/>
        <w:rPr>
          <w:rFonts w:ascii="Times New Roman" w:hAnsi="Times New Roman" w:eastAsia="宋体" w:cs="Times New Roman"/>
          <w:sz w:val="32"/>
          <w:szCs w:val="32"/>
          <w:lang w:eastAsia="zh-CN"/>
        </w:rPr>
      </w:pPr>
      <w:r>
        <w:rPr>
          <w:rFonts w:hint="eastAsia" w:ascii="Times New Roman" w:hAnsi="Times New Roman" w:eastAsia="仿宋_GB2312" w:cs="Times New Roman"/>
          <w:sz w:val="32"/>
          <w:szCs w:val="32"/>
          <w:lang w:eastAsia="zh-CN"/>
        </w:rPr>
        <w:t>4）根据《天津东疆保税港区管理委员会财政预算管理暂行办法》，其中第四章财政预算执行中，第三十条指出主管预算部门不得擅自截留、滞留、挪用所属预算单位的预算资金。本项目预算资金不存在截留、挤占、挪用、虚列支出等情况。</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w:t>
      </w:r>
      <w:r>
        <w:rPr>
          <w:rFonts w:ascii="Times New Roman" w:hAnsi="Times New Roman" w:eastAsia="仿宋_GB2312" w:cs="Times New Roman"/>
          <w:sz w:val="32"/>
          <w:szCs w:val="32"/>
          <w:lang w:eastAsia="zh-CN"/>
        </w:rPr>
        <w:t>项目资金的使用符合国家财经法规和财务管理制度以及有关专项资金管理办法的规定，有完整的审批程序和手续</w:t>
      </w:r>
      <w:r>
        <w:rPr>
          <w:rFonts w:hint="eastAsia" w:ascii="Times New Roman" w:hAnsi="Times New Roman" w:eastAsia="仿宋_GB2312" w:cs="Times New Roman"/>
          <w:sz w:val="32"/>
          <w:szCs w:val="32"/>
          <w:lang w:eastAsia="zh-CN"/>
        </w:rPr>
        <w:t>，符合项目的预算批复或合同规定的用途，不存在截留、挤占、挪用、虚列支出等情况，基本符合评分标准要求。该项标准分值4分，实际得分为4分。</w:t>
      </w:r>
    </w:p>
    <w:p>
      <w:pPr>
        <w:spacing w:line="300" w:lineRule="auto"/>
        <w:jc w:val="both"/>
        <w:outlineLvl w:val="2"/>
        <w:rPr>
          <w:rFonts w:ascii="Times New Roman" w:hAnsi="Times New Roman" w:eastAsia="仿宋_GB2312" w:cs="Times New Roman"/>
          <w:b/>
          <w:sz w:val="32"/>
          <w:szCs w:val="32"/>
          <w:lang w:eastAsia="zh-CN"/>
        </w:rPr>
      </w:pPr>
      <w:bookmarkStart w:id="99" w:name="_Toc83563143"/>
      <w:bookmarkStart w:id="100" w:name="_Toc63706278"/>
      <w:bookmarkStart w:id="101" w:name="_Toc107933415"/>
      <w:r>
        <w:rPr>
          <w:rFonts w:ascii="Times New Roman" w:hAnsi="Times New Roman" w:eastAsia="仿宋_GB2312" w:cs="Times New Roman"/>
          <w:b/>
          <w:sz w:val="32"/>
          <w:szCs w:val="32"/>
          <w:lang w:eastAsia="zh-CN"/>
        </w:rPr>
        <w:t>4.管理制度健全性</w:t>
      </w:r>
      <w:bookmarkEnd w:id="99"/>
      <w:bookmarkEnd w:id="100"/>
      <w:bookmarkEnd w:id="101"/>
    </w:p>
    <w:p>
      <w:pPr>
        <w:spacing w:line="300" w:lineRule="auto"/>
        <w:jc w:val="both"/>
        <w:outlineLvl w:val="3"/>
        <w:rPr>
          <w:rFonts w:ascii="Times New Roman" w:hAnsi="Times New Roman" w:eastAsia="仿宋_GB2312"/>
          <w:sz w:val="32"/>
          <w:szCs w:val="32"/>
          <w:lang w:eastAsia="zh-CN"/>
        </w:rPr>
      </w:pPr>
      <w:r>
        <w:rPr>
          <w:rFonts w:ascii="Times New Roman" w:hAnsi="Times New Roman" w:eastAsia="仿宋_GB2312"/>
          <w:sz w:val="32"/>
          <w:szCs w:val="32"/>
          <w:lang w:eastAsia="zh-CN"/>
        </w:rPr>
        <w:t>（</w:t>
      </w:r>
      <w:r>
        <w:rPr>
          <w:rFonts w:hint="eastAsia" w:ascii="Times New Roman" w:hAnsi="Times New Roman" w:eastAsia="仿宋_GB2312"/>
          <w:sz w:val="32"/>
          <w:szCs w:val="32"/>
          <w:lang w:eastAsia="zh-CN"/>
        </w:rPr>
        <w:t>1</w:t>
      </w:r>
      <w:r>
        <w:rPr>
          <w:rFonts w:ascii="Times New Roman" w:hAnsi="Times New Roman" w:eastAsia="仿宋_GB2312"/>
          <w:sz w:val="32"/>
          <w:szCs w:val="32"/>
          <w:lang w:eastAsia="zh-CN"/>
        </w:rPr>
        <w:t>）实际执行情况分析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本项目财务管理制度执行管委会制定的</w:t>
      </w:r>
      <w:r>
        <w:rPr>
          <w:rFonts w:hint="eastAsia" w:ascii="Times New Roman" w:hAnsi="Times New Roman" w:eastAsia="仿宋_GB2312"/>
          <w:sz w:val="32"/>
          <w:szCs w:val="32"/>
          <w:lang w:eastAsia="zh-CN"/>
        </w:rPr>
        <w:t>《天津东疆保税港区管理委员会财政预算管理办法》，财务管理制度合法、合规、完整，但实施单位缺少相应的业务管理制度。</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sz w:val="32"/>
          <w:szCs w:val="32"/>
          <w:lang w:eastAsia="zh-CN"/>
        </w:rPr>
        <w:t>（</w:t>
      </w:r>
      <w:r>
        <w:rPr>
          <w:rFonts w:hint="eastAsia" w:ascii="Times New Roman" w:hAnsi="Times New Roman" w:eastAsia="仿宋_GB2312"/>
          <w:sz w:val="32"/>
          <w:szCs w:val="32"/>
          <w:lang w:eastAsia="zh-CN"/>
        </w:rPr>
        <w:t>2</w:t>
      </w:r>
      <w:r>
        <w:rPr>
          <w:rFonts w:ascii="Times New Roman" w:hAnsi="Times New Roman" w:eastAsia="仿宋_GB2312"/>
          <w:sz w:val="32"/>
          <w:szCs w:val="32"/>
          <w:lang w:eastAsia="zh-CN"/>
        </w:rPr>
        <w:t>）评价结论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项目实施单位的财务管理制度合法、合规、完整。但缺少相应的业务管理制度。该项标准分值4分，得分3分。</w:t>
      </w:r>
    </w:p>
    <w:p>
      <w:pPr>
        <w:spacing w:line="300" w:lineRule="auto"/>
        <w:jc w:val="both"/>
        <w:outlineLvl w:val="2"/>
        <w:rPr>
          <w:rFonts w:ascii="Times New Roman" w:hAnsi="Times New Roman" w:eastAsia="仿宋_GB2312" w:cs="Times New Roman"/>
          <w:b/>
          <w:sz w:val="32"/>
          <w:szCs w:val="32"/>
          <w:lang w:eastAsia="zh-CN"/>
        </w:rPr>
      </w:pPr>
      <w:bookmarkStart w:id="102" w:name="_Toc83563144"/>
      <w:bookmarkStart w:id="103" w:name="_Toc63706279"/>
      <w:bookmarkStart w:id="104" w:name="_Toc107933416"/>
      <w:r>
        <w:rPr>
          <w:rFonts w:ascii="Times New Roman" w:hAnsi="Times New Roman" w:eastAsia="仿宋_GB2312" w:cs="Times New Roman"/>
          <w:b/>
          <w:sz w:val="32"/>
          <w:szCs w:val="32"/>
          <w:lang w:eastAsia="zh-CN"/>
        </w:rPr>
        <w:t>5.制度执行有效性</w:t>
      </w:r>
      <w:bookmarkEnd w:id="102"/>
      <w:bookmarkEnd w:id="103"/>
      <w:bookmarkEnd w:id="104"/>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1）本项目的实施符合《天津市2021年食品安全监管计划》《东疆保税港区2021年食品安全攻坚行动实施方案》。《关于加快成立食品安全专职协管员队伍的通知》等文件的的要求。</w:t>
      </w:r>
    </w:p>
    <w:p>
      <w:pPr>
        <w:spacing w:line="300" w:lineRule="auto"/>
        <w:ind w:firstLine="640" w:firstLineChars="200"/>
        <w:jc w:val="both"/>
        <w:rPr>
          <w:rFonts w:ascii="Times New Roman" w:hAnsi="Times New Roman" w:eastAsia="仿宋_GB2312" w:cs="Times New Roman"/>
          <w:kern w:val="2"/>
          <w:sz w:val="32"/>
          <w:szCs w:val="32"/>
          <w:lang w:eastAsia="zh-CN"/>
        </w:rPr>
      </w:pPr>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kern w:val="2"/>
          <w:sz w:val="32"/>
          <w:szCs w:val="32"/>
          <w:lang w:eastAsia="zh-CN"/>
        </w:rPr>
        <w:t>2021年10月，</w:t>
      </w:r>
      <w:r>
        <w:rPr>
          <w:rFonts w:hint="eastAsia" w:ascii="Times New Roman" w:hAnsi="Times New Roman" w:eastAsia="仿宋_GB2312" w:cs="Times New Roman"/>
          <w:sz w:val="32"/>
          <w:szCs w:val="32"/>
          <w:lang w:eastAsia="zh-CN"/>
        </w:rPr>
        <w:t>项目实施单位</w:t>
      </w:r>
      <w:r>
        <w:rPr>
          <w:rFonts w:hint="eastAsia" w:ascii="Times New Roman" w:hAnsi="Times New Roman" w:eastAsia="仿宋_GB2312" w:cs="Times New Roman"/>
          <w:kern w:val="2"/>
          <w:sz w:val="32"/>
          <w:szCs w:val="32"/>
          <w:lang w:eastAsia="zh-CN"/>
        </w:rPr>
        <w:t>申报了2021年度部门中期调整预算，并于2021年10月19日获得财政局批复（津东疆财预指[2021]31号），本项目2021年预算为615000元。项目调整及支出调整手续完备；</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项目实施单位与各服务单位分别签订了《东疆保税港区食品安全宣传服务合同》《食品安全协管服务外包合同》《天津东疆保税港区市场监督管理局技术咨询服务协议》，具有成果文件及履约验收报告，并进行了归档。</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w:t>
      </w:r>
      <w:r>
        <w:rPr>
          <w:rFonts w:ascii="Times New Roman" w:hAnsi="Times New Roman" w:eastAsia="仿宋_GB2312" w:cs="Times New Roman"/>
          <w:sz w:val="32"/>
          <w:szCs w:val="32"/>
          <w:lang w:eastAsia="zh-CN"/>
        </w:rPr>
        <w:t>项目的</w:t>
      </w:r>
      <w:r>
        <w:rPr>
          <w:rFonts w:hint="eastAsia" w:ascii="Times New Roman" w:hAnsi="Times New Roman" w:eastAsia="仿宋_GB2312" w:cs="Times New Roman"/>
          <w:sz w:val="32"/>
          <w:szCs w:val="32"/>
          <w:lang w:eastAsia="zh-CN"/>
        </w:rPr>
        <w:t>实施遵守相关法律法规和相关管理规定，调整及支出调整手续完备。项目招采文件、合同书、成果文件及履约验收报告齐全并及时归档。该项标准分值4分，实际得分为4分。</w:t>
      </w:r>
    </w:p>
    <w:p>
      <w:pPr>
        <w:spacing w:line="300" w:lineRule="auto"/>
        <w:jc w:val="both"/>
        <w:outlineLvl w:val="1"/>
        <w:rPr>
          <w:rFonts w:ascii="Times New Roman" w:hAnsi="Times New Roman" w:eastAsia="仿宋_GB2312" w:cs="Times New Roman"/>
          <w:b/>
          <w:sz w:val="32"/>
          <w:szCs w:val="32"/>
          <w:lang w:eastAsia="zh-CN"/>
        </w:rPr>
      </w:pPr>
      <w:bookmarkStart w:id="105" w:name="_Toc112070761"/>
      <w:r>
        <w:rPr>
          <w:rFonts w:ascii="Times New Roman" w:hAnsi="Times New Roman" w:eastAsia="仿宋_GB2312" w:cs="Times New Roman"/>
          <w:b/>
          <w:sz w:val="32"/>
          <w:szCs w:val="32"/>
          <w:lang w:eastAsia="zh-CN"/>
        </w:rPr>
        <w:t>（三）项目产出情况</w:t>
      </w:r>
      <w:bookmarkEnd w:id="105"/>
    </w:p>
    <w:p>
      <w:pPr>
        <w:spacing w:line="300" w:lineRule="auto"/>
        <w:jc w:val="both"/>
        <w:outlineLvl w:val="2"/>
        <w:rPr>
          <w:rFonts w:ascii="Times New Roman" w:hAnsi="Times New Roman" w:eastAsia="仿宋_GB2312" w:cs="Times New Roman"/>
          <w:b/>
          <w:sz w:val="32"/>
          <w:szCs w:val="32"/>
          <w:lang w:eastAsia="zh-CN"/>
        </w:rPr>
      </w:pPr>
      <w:bookmarkStart w:id="106" w:name="_Toc63706281"/>
      <w:bookmarkStart w:id="107" w:name="_Toc83563146"/>
      <w:bookmarkStart w:id="108" w:name="_Toc107933418"/>
      <w:r>
        <w:rPr>
          <w:rFonts w:ascii="Times New Roman" w:hAnsi="Times New Roman" w:eastAsia="仿宋_GB2312" w:cs="Times New Roman"/>
          <w:b/>
          <w:sz w:val="32"/>
          <w:szCs w:val="32"/>
          <w:lang w:eastAsia="zh-CN"/>
        </w:rPr>
        <w:t>1.</w:t>
      </w:r>
      <w:bookmarkEnd w:id="106"/>
      <w:bookmarkEnd w:id="107"/>
      <w:r>
        <w:rPr>
          <w:rFonts w:hint="eastAsia" w:ascii="Times New Roman" w:hAnsi="Times New Roman" w:eastAsia="仿宋_GB2312" w:cs="Times New Roman"/>
          <w:b/>
          <w:sz w:val="32"/>
          <w:szCs w:val="32"/>
          <w:lang w:eastAsia="zh-CN"/>
        </w:rPr>
        <w:t>食品安全协管服务内容完成率</w:t>
      </w:r>
      <w:bookmarkEnd w:id="108"/>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根据《食品安全协管服务外包合同》，本项目计划开展6项服务内容。经查阅《东疆食品安全专职协管员队伍建设情况的报告》，本项目实际已开展6项服务内容，即本项目食品安全协管服务内容完成率为100%。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本项目食品安全协管服务内容完成率为100%，该项标准分值4分，实际得分为4分。</w:t>
      </w:r>
    </w:p>
    <w:p>
      <w:pPr>
        <w:spacing w:line="300" w:lineRule="auto"/>
        <w:jc w:val="both"/>
        <w:outlineLvl w:val="2"/>
        <w:rPr>
          <w:rFonts w:ascii="Times New Roman" w:hAnsi="Times New Roman" w:eastAsia="仿宋_GB2312" w:cs="Times New Roman"/>
          <w:b/>
          <w:sz w:val="32"/>
          <w:szCs w:val="32"/>
          <w:lang w:eastAsia="zh-CN"/>
        </w:rPr>
      </w:pPr>
      <w:bookmarkStart w:id="109" w:name="_Toc63706282"/>
      <w:bookmarkStart w:id="110" w:name="_Toc83563147"/>
      <w:bookmarkStart w:id="111" w:name="_Toc107933419"/>
      <w:r>
        <w:rPr>
          <w:rFonts w:ascii="Times New Roman" w:hAnsi="Times New Roman" w:eastAsia="仿宋_GB2312" w:cs="Times New Roman"/>
          <w:b/>
          <w:sz w:val="32"/>
          <w:szCs w:val="32"/>
          <w:lang w:eastAsia="zh-CN"/>
        </w:rPr>
        <w:t>2.</w:t>
      </w:r>
      <w:bookmarkEnd w:id="109"/>
      <w:bookmarkEnd w:id="110"/>
      <w:r>
        <w:rPr>
          <w:rFonts w:hint="eastAsia" w:ascii="Times New Roman" w:hAnsi="Times New Roman" w:eastAsia="仿宋_GB2312" w:cs="Times New Roman"/>
          <w:b/>
          <w:sz w:val="32"/>
          <w:szCs w:val="32"/>
          <w:lang w:eastAsia="zh-CN"/>
        </w:rPr>
        <w:t>食品安全宣传品设置点位完成率</w:t>
      </w:r>
      <w:bookmarkEnd w:id="111"/>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东疆保税港区食品安全宣传服务合同》附件《东疆保税港务食品安全宣传物料报价清单》，本项目计划设置食品安全宣传品设置点位20个，经查阅《东疆保税港区食品安全宣传服务合同工程竣工验收单》，本项目计划设置的宣传点位数都已完成，即本项目食品安全宣传品设置点位完成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本项目的食品安全宣传品设置点位完成率为100%，该项标准分值4分，实际得分为4分。</w:t>
      </w:r>
    </w:p>
    <w:p>
      <w:pPr>
        <w:spacing w:line="300" w:lineRule="auto"/>
        <w:jc w:val="both"/>
        <w:outlineLvl w:val="2"/>
        <w:rPr>
          <w:rFonts w:ascii="Times New Roman" w:hAnsi="Times New Roman" w:eastAsia="仿宋_GB2312" w:cs="Times New Roman"/>
          <w:b/>
          <w:sz w:val="32"/>
          <w:szCs w:val="32"/>
          <w:lang w:eastAsia="zh-CN"/>
        </w:rPr>
      </w:pPr>
      <w:bookmarkStart w:id="112" w:name="_Toc63706283"/>
      <w:bookmarkStart w:id="113" w:name="_Toc83563148"/>
      <w:bookmarkStart w:id="114" w:name="_Toc107933420"/>
      <w:r>
        <w:rPr>
          <w:rFonts w:ascii="Times New Roman" w:hAnsi="Times New Roman" w:eastAsia="仿宋_GB2312" w:cs="Times New Roman"/>
          <w:b/>
          <w:sz w:val="32"/>
          <w:szCs w:val="32"/>
          <w:lang w:eastAsia="zh-CN"/>
        </w:rPr>
        <w:t>3.</w:t>
      </w:r>
      <w:bookmarkEnd w:id="112"/>
      <w:bookmarkEnd w:id="113"/>
      <w:r>
        <w:rPr>
          <w:rFonts w:ascii="Times New Roman" w:hAnsi="Times New Roman" w:eastAsia="仿宋_GB2312" w:cs="Times New Roman"/>
          <w:b/>
          <w:sz w:val="32"/>
          <w:szCs w:val="32"/>
          <w:lang w:eastAsia="zh-CN"/>
        </w:rPr>
        <w:t>食品</w:t>
      </w:r>
      <w:r>
        <w:rPr>
          <w:rFonts w:hint="eastAsia" w:ascii="Times New Roman" w:hAnsi="Times New Roman" w:eastAsia="仿宋_GB2312" w:cs="Times New Roman"/>
          <w:b/>
          <w:sz w:val="32"/>
          <w:szCs w:val="32"/>
          <w:lang w:eastAsia="zh-CN"/>
        </w:rPr>
        <w:t>应急预案、桌面推演数量完成率</w:t>
      </w:r>
      <w:bookmarkEnd w:id="114"/>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天津东疆保税港区市场监督管理局技术咨询服务协议》，本项目计划完成食品安全应急预案编制及突然事件桌面推演，经查阅本项目相关成果文件，本项目的食品安全应急预案编制及突然事件桌面推演都已完成，即本项目食品应急预案、桌面推演数量完成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本项目食品应急预案、桌面推演数量完成率为100%，该项标准分值4分，实际得分为4分。</w:t>
      </w:r>
    </w:p>
    <w:p>
      <w:pPr>
        <w:spacing w:line="300" w:lineRule="auto"/>
        <w:jc w:val="both"/>
        <w:outlineLvl w:val="2"/>
        <w:rPr>
          <w:rFonts w:ascii="Times New Roman" w:hAnsi="Times New Roman" w:eastAsia="仿宋_GB2312" w:cs="Times New Roman"/>
          <w:b/>
          <w:sz w:val="32"/>
          <w:szCs w:val="32"/>
          <w:lang w:eastAsia="zh-CN"/>
        </w:rPr>
      </w:pPr>
      <w:bookmarkStart w:id="115" w:name="_Toc63706284"/>
      <w:bookmarkStart w:id="116" w:name="_Toc83563149"/>
      <w:bookmarkStart w:id="117" w:name="_Toc107933421"/>
      <w:r>
        <w:rPr>
          <w:rFonts w:hint="eastAsia" w:ascii="Times New Roman" w:hAnsi="Times New Roman" w:eastAsia="仿宋_GB2312" w:cs="Times New Roman"/>
          <w:b/>
          <w:sz w:val="32"/>
          <w:szCs w:val="32"/>
          <w:lang w:eastAsia="zh-CN"/>
        </w:rPr>
        <w:t>4</w:t>
      </w:r>
      <w:r>
        <w:rPr>
          <w:rFonts w:ascii="Times New Roman" w:hAnsi="Times New Roman" w:eastAsia="仿宋_GB2312" w:cs="Times New Roman"/>
          <w:b/>
          <w:sz w:val="32"/>
          <w:szCs w:val="32"/>
          <w:lang w:eastAsia="zh-CN"/>
        </w:rPr>
        <w:t>.</w:t>
      </w:r>
      <w:bookmarkEnd w:id="115"/>
      <w:bookmarkEnd w:id="116"/>
      <w:r>
        <w:rPr>
          <w:rFonts w:hint="eastAsia" w:ascii="Times New Roman" w:hAnsi="Times New Roman" w:eastAsia="仿宋_GB2312" w:cs="Times New Roman"/>
          <w:b/>
          <w:sz w:val="32"/>
          <w:szCs w:val="32"/>
          <w:lang w:eastAsia="zh-CN"/>
        </w:rPr>
        <w:t>食品安全宣传品验收合格率</w:t>
      </w:r>
      <w:bookmarkEnd w:id="117"/>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经查阅《东疆保税港区食品安全宣传服务合同工程竣工验收单》，本项目计划设置的宣传点位数都已完成并验收，即本项目食品安全宣传品验收合格率为100%。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w:t>
      </w:r>
      <w:r>
        <w:rPr>
          <w:rFonts w:hint="eastAsia" w:ascii="Times New Roman" w:hAnsi="Times New Roman" w:eastAsia="仿宋_GB2312" w:cs="Times New Roman"/>
          <w:sz w:val="32"/>
          <w:szCs w:val="32"/>
          <w:lang w:eastAsia="zh-CN"/>
        </w:rPr>
        <w:t>食品安全宣传品验收合格率</w:t>
      </w:r>
      <w:r>
        <w:rPr>
          <w:rFonts w:ascii="Times New Roman" w:hAnsi="Times New Roman" w:eastAsia="仿宋_GB2312" w:cs="Times New Roman"/>
          <w:sz w:val="32"/>
          <w:szCs w:val="32"/>
          <w:lang w:eastAsia="zh-CN"/>
        </w:rPr>
        <w:t>为</w:t>
      </w:r>
      <w:r>
        <w:rPr>
          <w:rFonts w:hint="eastAsia" w:ascii="Times New Roman" w:hAnsi="Times New Roman" w:eastAsia="仿宋_GB2312" w:cs="Times New Roman"/>
          <w:sz w:val="32"/>
          <w:szCs w:val="32"/>
          <w:lang w:eastAsia="zh-CN"/>
        </w:rPr>
        <w:t>100%，该项标准分值6分，实际得分为6分。</w:t>
      </w:r>
    </w:p>
    <w:p>
      <w:pPr>
        <w:spacing w:line="300" w:lineRule="auto"/>
        <w:jc w:val="both"/>
        <w:outlineLvl w:val="2"/>
        <w:rPr>
          <w:rFonts w:ascii="Times New Roman" w:hAnsi="Times New Roman" w:eastAsia="仿宋_GB2312" w:cs="Times New Roman"/>
          <w:b/>
          <w:sz w:val="32"/>
          <w:szCs w:val="32"/>
          <w:lang w:eastAsia="zh-CN"/>
        </w:rPr>
      </w:pPr>
      <w:bookmarkStart w:id="118" w:name="_Toc63706285"/>
      <w:bookmarkStart w:id="119" w:name="_Toc83563150"/>
      <w:bookmarkStart w:id="120" w:name="_Toc107933422"/>
      <w:r>
        <w:rPr>
          <w:rFonts w:hint="eastAsia" w:ascii="Times New Roman" w:hAnsi="Times New Roman" w:eastAsia="仿宋_GB2312" w:cs="Times New Roman"/>
          <w:b/>
          <w:sz w:val="32"/>
          <w:szCs w:val="32"/>
          <w:lang w:eastAsia="zh-CN"/>
        </w:rPr>
        <w:t>5</w:t>
      </w:r>
      <w:r>
        <w:rPr>
          <w:rFonts w:ascii="Times New Roman" w:hAnsi="Times New Roman" w:eastAsia="仿宋_GB2312" w:cs="Times New Roman"/>
          <w:b/>
          <w:sz w:val="32"/>
          <w:szCs w:val="32"/>
          <w:lang w:eastAsia="zh-CN"/>
        </w:rPr>
        <w:t>.</w:t>
      </w:r>
      <w:bookmarkEnd w:id="118"/>
      <w:bookmarkEnd w:id="119"/>
      <w:r>
        <w:rPr>
          <w:rFonts w:ascii="Times New Roman" w:hAnsi="Times New Roman" w:eastAsia="仿宋_GB2312" w:cs="Times New Roman"/>
          <w:b/>
          <w:sz w:val="32"/>
          <w:szCs w:val="32"/>
          <w:lang w:eastAsia="zh-CN"/>
        </w:rPr>
        <w:t>食品</w:t>
      </w:r>
      <w:r>
        <w:rPr>
          <w:rFonts w:hint="eastAsia" w:ascii="Times New Roman" w:hAnsi="Times New Roman" w:eastAsia="仿宋_GB2312" w:cs="Times New Roman"/>
          <w:b/>
          <w:sz w:val="32"/>
          <w:szCs w:val="32"/>
          <w:lang w:eastAsia="zh-CN"/>
        </w:rPr>
        <w:t>应急预案、桌面推演验收合格率</w:t>
      </w:r>
      <w:bookmarkEnd w:id="120"/>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经查阅本项目《验收确认函》，本项目的食品安全应急预案编制及突然事件桌面推演都已完成并验收。即本项目食品应急预案、桌面推演验收合格率为100%。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本项目食品</w:t>
      </w:r>
      <w:r>
        <w:rPr>
          <w:rFonts w:hint="eastAsia" w:ascii="Times New Roman" w:hAnsi="Times New Roman" w:eastAsia="仿宋_GB2312" w:cs="Times New Roman"/>
          <w:sz w:val="32"/>
          <w:szCs w:val="32"/>
          <w:lang w:eastAsia="zh-CN"/>
        </w:rPr>
        <w:t>应急预案、桌面推演验收合格率</w:t>
      </w:r>
      <w:r>
        <w:rPr>
          <w:rFonts w:ascii="Times New Roman" w:hAnsi="Times New Roman" w:eastAsia="仿宋_GB2312" w:cs="Times New Roman"/>
          <w:sz w:val="32"/>
          <w:szCs w:val="32"/>
          <w:lang w:eastAsia="zh-CN"/>
        </w:rPr>
        <w:t>为</w:t>
      </w:r>
      <w:r>
        <w:rPr>
          <w:rFonts w:hint="eastAsia" w:ascii="Times New Roman" w:hAnsi="Times New Roman" w:eastAsia="仿宋_GB2312" w:cs="Times New Roman"/>
          <w:sz w:val="32"/>
          <w:szCs w:val="32"/>
          <w:lang w:eastAsia="zh-CN"/>
        </w:rPr>
        <w:t>100%，该项标准分值6分，实际得分为6分。</w:t>
      </w:r>
    </w:p>
    <w:p>
      <w:pPr>
        <w:spacing w:line="300" w:lineRule="auto"/>
        <w:jc w:val="both"/>
        <w:outlineLvl w:val="2"/>
        <w:rPr>
          <w:rFonts w:ascii="Times New Roman" w:hAnsi="Times New Roman" w:eastAsia="仿宋_GB2312" w:cs="Times New Roman"/>
          <w:b/>
          <w:sz w:val="32"/>
          <w:szCs w:val="32"/>
          <w:lang w:eastAsia="zh-CN"/>
        </w:rPr>
      </w:pPr>
      <w:bookmarkStart w:id="121" w:name="_Toc107933423"/>
      <w:bookmarkStart w:id="122" w:name="_Toc83563152"/>
      <w:bookmarkStart w:id="123" w:name="_Toc63706287"/>
      <w:r>
        <w:rPr>
          <w:rFonts w:hint="eastAsia" w:ascii="Times New Roman" w:hAnsi="Times New Roman" w:eastAsia="仿宋_GB2312" w:cs="Times New Roman"/>
          <w:b/>
          <w:sz w:val="32"/>
          <w:szCs w:val="32"/>
          <w:lang w:eastAsia="zh-CN"/>
        </w:rPr>
        <w:t>6</w:t>
      </w:r>
      <w:r>
        <w:rPr>
          <w:rFonts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eastAsia="zh-CN"/>
        </w:rPr>
        <w:t>完成及时性</w:t>
      </w:r>
      <w:bookmarkEnd w:id="121"/>
      <w:bookmarkEnd w:id="122"/>
      <w:bookmarkEnd w:id="123"/>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根据本项目包括的三个服务合同和履约验收报告，本项目的合同约定起止时间和实际起止时间如下表4.3所示。</w:t>
      </w:r>
    </w:p>
    <w:p>
      <w:pPr>
        <w:spacing w:line="360" w:lineRule="auto"/>
        <w:jc w:val="center"/>
        <w:rPr>
          <w:rFonts w:ascii="Times New Roman" w:hAnsi="Times New Roman" w:eastAsia="仿宋_GB2312" w:cs="Times New Roman"/>
          <w:sz w:val="28"/>
          <w:szCs w:val="28"/>
          <w:lang w:eastAsia="zh-CN"/>
        </w:rPr>
      </w:pPr>
    </w:p>
    <w:p>
      <w:pPr>
        <w:spacing w:line="360" w:lineRule="auto"/>
        <w:jc w:val="center"/>
        <w:rPr>
          <w:rFonts w:ascii="Times New Roman" w:hAnsi="Times New Roman" w:eastAsia="仿宋_GB2312" w:cs="Times New Roman"/>
          <w:sz w:val="28"/>
          <w:szCs w:val="28"/>
          <w:lang w:eastAsia="zh-CN"/>
        </w:rPr>
      </w:pPr>
      <w:r>
        <w:rPr>
          <w:rFonts w:ascii="Times New Roman" w:hAnsi="Times New Roman" w:eastAsia="仿宋_GB2312" w:cs="Times New Roman"/>
          <w:sz w:val="28"/>
          <w:szCs w:val="28"/>
          <w:lang w:eastAsia="zh-CN"/>
        </w:rPr>
        <w:t>表</w:t>
      </w:r>
      <w:r>
        <w:rPr>
          <w:rFonts w:hint="eastAsia" w:ascii="Times New Roman" w:hAnsi="Times New Roman" w:eastAsia="仿宋_GB2312" w:cs="Times New Roman"/>
          <w:sz w:val="28"/>
          <w:szCs w:val="28"/>
          <w:lang w:eastAsia="zh-CN"/>
        </w:rPr>
        <w:t>4</w:t>
      </w:r>
      <w:r>
        <w:rPr>
          <w:rFonts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eastAsia="zh-CN"/>
        </w:rPr>
        <w:t>3</w:t>
      </w:r>
      <w:r>
        <w:rPr>
          <w:rFonts w:ascii="Times New Roman" w:hAnsi="Times New Roman" w:eastAsia="仿宋_GB2312" w:cs="Times New Roman"/>
          <w:sz w:val="28"/>
          <w:szCs w:val="28"/>
          <w:lang w:eastAsia="zh-CN"/>
        </w:rPr>
        <w:t xml:space="preserve"> </w:t>
      </w:r>
      <w:r>
        <w:rPr>
          <w:rFonts w:hint="eastAsia" w:ascii="Times New Roman" w:hAnsi="Times New Roman" w:eastAsia="仿宋_GB2312" w:cs="Times New Roman"/>
          <w:sz w:val="28"/>
          <w:szCs w:val="28"/>
          <w:lang w:eastAsia="zh-CN"/>
        </w:rPr>
        <w:t>项目起止时间表</w:t>
      </w:r>
    </w:p>
    <w:tbl>
      <w:tblPr>
        <w:tblStyle w:val="11"/>
        <w:tblW w:w="8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117"/>
        <w:gridCol w:w="2694"/>
        <w:gridCol w:w="2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8"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序号</w:t>
            </w:r>
          </w:p>
        </w:tc>
        <w:tc>
          <w:tcPr>
            <w:tcW w:w="2117"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项目名称</w:t>
            </w:r>
          </w:p>
        </w:tc>
        <w:tc>
          <w:tcPr>
            <w:tcW w:w="2694"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合同约定完成时间</w:t>
            </w:r>
          </w:p>
        </w:tc>
        <w:tc>
          <w:tcPr>
            <w:tcW w:w="2937"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实际完成时间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8"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1</w:t>
            </w:r>
          </w:p>
        </w:tc>
        <w:tc>
          <w:tcPr>
            <w:tcW w:w="2117" w:type="dxa"/>
            <w:vAlign w:val="center"/>
          </w:tcPr>
          <w:p>
            <w:pPr>
              <w:spacing w:line="440" w:lineRule="exact"/>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食品安全协管服务</w:t>
            </w:r>
          </w:p>
        </w:tc>
        <w:tc>
          <w:tcPr>
            <w:tcW w:w="2694"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2022年11月30日前</w:t>
            </w:r>
          </w:p>
        </w:tc>
        <w:tc>
          <w:tcPr>
            <w:tcW w:w="2937"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尚在进行之中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8"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2</w:t>
            </w:r>
          </w:p>
        </w:tc>
        <w:tc>
          <w:tcPr>
            <w:tcW w:w="2117" w:type="dxa"/>
            <w:vAlign w:val="center"/>
          </w:tcPr>
          <w:p>
            <w:pPr>
              <w:spacing w:line="440" w:lineRule="exact"/>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食品安全宣传服务（第一批）</w:t>
            </w:r>
          </w:p>
        </w:tc>
        <w:tc>
          <w:tcPr>
            <w:tcW w:w="2694"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2021年12月31日前</w:t>
            </w:r>
          </w:p>
        </w:tc>
        <w:tc>
          <w:tcPr>
            <w:tcW w:w="2937"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2021年12月15日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8"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3</w:t>
            </w:r>
          </w:p>
        </w:tc>
        <w:tc>
          <w:tcPr>
            <w:tcW w:w="2117"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sz w:val="28"/>
                <w:szCs w:val="28"/>
                <w:lang w:eastAsia="zh-CN"/>
              </w:rPr>
              <w:t>食品应急预案及桌面推演服务</w:t>
            </w:r>
          </w:p>
        </w:tc>
        <w:tc>
          <w:tcPr>
            <w:tcW w:w="2694"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2021年12月31日前</w:t>
            </w:r>
          </w:p>
        </w:tc>
        <w:tc>
          <w:tcPr>
            <w:tcW w:w="2937"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2021年11月22日</w:t>
            </w:r>
          </w:p>
        </w:tc>
      </w:tr>
    </w:tbl>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如上表所示，本项目所有合同都如期履约完成。</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w:t>
      </w:r>
      <w:r>
        <w:rPr>
          <w:rFonts w:hint="eastAsia" w:ascii="Times New Roman" w:hAnsi="Times New Roman" w:eastAsia="仿宋_GB2312" w:cs="Times New Roman"/>
          <w:sz w:val="32"/>
          <w:szCs w:val="32"/>
          <w:lang w:eastAsia="zh-CN"/>
        </w:rPr>
        <w:t>不存在进度偏差，该项标准分值8分，实际得分为8分。</w:t>
      </w:r>
    </w:p>
    <w:p>
      <w:pPr>
        <w:spacing w:line="300" w:lineRule="auto"/>
        <w:jc w:val="both"/>
        <w:outlineLvl w:val="2"/>
        <w:rPr>
          <w:rFonts w:ascii="Times New Roman" w:hAnsi="Times New Roman" w:eastAsia="仿宋_GB2312" w:cs="Times New Roman"/>
          <w:b/>
          <w:sz w:val="32"/>
          <w:szCs w:val="32"/>
          <w:lang w:eastAsia="zh-CN"/>
        </w:rPr>
      </w:pPr>
      <w:bookmarkStart w:id="124" w:name="_Toc63706288"/>
      <w:bookmarkStart w:id="125" w:name="_Toc107933424"/>
      <w:bookmarkStart w:id="126" w:name="_Toc83563153"/>
      <w:r>
        <w:rPr>
          <w:rFonts w:hint="eastAsia" w:ascii="Times New Roman" w:hAnsi="Times New Roman" w:eastAsia="仿宋_GB2312" w:cs="Times New Roman"/>
          <w:b/>
          <w:sz w:val="32"/>
          <w:szCs w:val="32"/>
          <w:lang w:eastAsia="zh-CN"/>
        </w:rPr>
        <w:t>7</w:t>
      </w:r>
      <w:r>
        <w:rPr>
          <w:rFonts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eastAsia="zh-CN"/>
        </w:rPr>
        <w:t>成本偏差率</w:t>
      </w:r>
      <w:bookmarkEnd w:id="124"/>
      <w:bookmarkEnd w:id="125"/>
      <w:bookmarkEnd w:id="126"/>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经查阅</w:t>
      </w:r>
      <w:r>
        <w:rPr>
          <w:rFonts w:ascii="Times New Roman" w:hAnsi="Times New Roman" w:eastAsia="仿宋_GB2312" w:cs="Times New Roman"/>
          <w:sz w:val="32"/>
          <w:szCs w:val="32"/>
          <w:lang w:eastAsia="zh-CN"/>
        </w:rPr>
        <w:t>本项目</w:t>
      </w:r>
      <w:r>
        <w:rPr>
          <w:rFonts w:hint="eastAsia" w:ascii="Times New Roman" w:hAnsi="Times New Roman" w:eastAsia="仿宋_GB2312" w:cs="Times New Roman"/>
          <w:sz w:val="32"/>
          <w:szCs w:val="32"/>
          <w:lang w:eastAsia="zh-CN"/>
        </w:rPr>
        <w:t>的财务</w:t>
      </w:r>
      <w:r>
        <w:rPr>
          <w:rFonts w:ascii="Times New Roman" w:hAnsi="Times New Roman" w:eastAsia="仿宋_GB2312" w:cs="Times New Roman"/>
          <w:sz w:val="32"/>
          <w:szCs w:val="32"/>
          <w:lang w:eastAsia="zh-CN"/>
        </w:rPr>
        <w:t>记账凭证</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实际支出资金为449952</w:t>
      </w:r>
      <w:r>
        <w:rPr>
          <w:rFonts w:hint="eastAsia" w:ascii="Times New Roman" w:hAnsi="Times New Roman" w:eastAsia="仿宋_GB2312" w:cs="Times New Roman"/>
          <w:sz w:val="32"/>
          <w:szCs w:val="32"/>
          <w:lang w:eastAsia="zh-CN"/>
        </w:rPr>
        <w:t>元，全年预算数为</w:t>
      </w:r>
      <w:r>
        <w:rPr>
          <w:rFonts w:ascii="Times New Roman" w:hAnsi="Times New Roman" w:eastAsia="仿宋_GB2312" w:cs="Times New Roman"/>
          <w:sz w:val="32"/>
          <w:szCs w:val="32"/>
          <w:lang w:eastAsia="zh-CN"/>
        </w:rPr>
        <w:t>615000</w:t>
      </w:r>
      <w:r>
        <w:rPr>
          <w:rFonts w:hint="eastAsia" w:ascii="Times New Roman" w:hAnsi="Times New Roman" w:eastAsia="仿宋_GB2312" w:cs="Times New Roman"/>
          <w:sz w:val="32"/>
          <w:szCs w:val="32"/>
          <w:lang w:eastAsia="zh-CN"/>
        </w:rPr>
        <w:t>元，成本偏差率=[（</w:t>
      </w:r>
      <w:r>
        <w:rPr>
          <w:rFonts w:ascii="Times New Roman" w:hAnsi="Times New Roman" w:eastAsia="仿宋_GB2312" w:cs="Times New Roman"/>
          <w:sz w:val="32"/>
          <w:szCs w:val="32"/>
          <w:lang w:eastAsia="zh-CN"/>
        </w:rPr>
        <w:t>449952</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615000</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615000</w:t>
      </w:r>
      <w:r>
        <w:rPr>
          <w:rFonts w:hint="eastAsia" w:ascii="Times New Roman" w:hAnsi="Times New Roman" w:eastAsia="仿宋_GB2312" w:cs="Times New Roman"/>
          <w:sz w:val="32"/>
          <w:szCs w:val="32"/>
          <w:lang w:eastAsia="zh-CN"/>
        </w:rPr>
        <w:t>]×100%=-26.84%。</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w:t>
      </w:r>
      <w:r>
        <w:rPr>
          <w:rFonts w:hint="eastAsia" w:ascii="Times New Roman" w:hAnsi="Times New Roman" w:eastAsia="仿宋_GB2312" w:cs="Times New Roman"/>
          <w:sz w:val="32"/>
          <w:szCs w:val="32"/>
          <w:lang w:eastAsia="zh-CN"/>
        </w:rPr>
        <w:t>成本偏差率为-26.84%，该项标准分值为8分，实际</w:t>
      </w:r>
      <w:r>
        <w:rPr>
          <w:rFonts w:ascii="Times New Roman" w:hAnsi="Times New Roman" w:eastAsia="仿宋_GB2312" w:cs="Times New Roman"/>
          <w:sz w:val="32"/>
          <w:szCs w:val="32"/>
          <w:lang w:eastAsia="zh-CN"/>
        </w:rPr>
        <w:t>得分</w:t>
      </w:r>
      <w:r>
        <w:rPr>
          <w:rFonts w:hint="eastAsia" w:ascii="Times New Roman" w:hAnsi="Times New Roman" w:eastAsia="仿宋_GB2312" w:cs="Times New Roman"/>
          <w:sz w:val="32"/>
          <w:szCs w:val="32"/>
          <w:lang w:eastAsia="zh-CN"/>
        </w:rPr>
        <w:t>为8</w:t>
      </w:r>
      <w:r>
        <w:rPr>
          <w:rFonts w:ascii="Times New Roman" w:hAnsi="Times New Roman" w:eastAsia="仿宋_GB2312" w:cs="Times New Roman"/>
          <w:sz w:val="32"/>
          <w:szCs w:val="32"/>
          <w:lang w:eastAsia="zh-CN"/>
        </w:rPr>
        <w:t>分</w:t>
      </w:r>
      <w:r>
        <w:rPr>
          <w:rFonts w:hint="eastAsia" w:ascii="Times New Roman" w:hAnsi="Times New Roman" w:eastAsia="仿宋_GB2312" w:cs="Times New Roman"/>
          <w:sz w:val="32"/>
          <w:szCs w:val="32"/>
          <w:lang w:eastAsia="zh-CN"/>
        </w:rPr>
        <w:t>。</w:t>
      </w:r>
    </w:p>
    <w:p>
      <w:pPr>
        <w:spacing w:line="300" w:lineRule="auto"/>
        <w:jc w:val="both"/>
        <w:outlineLvl w:val="1"/>
        <w:rPr>
          <w:rFonts w:ascii="Times New Roman" w:hAnsi="Times New Roman" w:eastAsia="仿宋_GB2312" w:cs="Times New Roman"/>
          <w:b/>
          <w:sz w:val="32"/>
          <w:szCs w:val="32"/>
          <w:lang w:eastAsia="zh-CN"/>
        </w:rPr>
      </w:pPr>
      <w:bookmarkStart w:id="127" w:name="_Toc112070762"/>
      <w:r>
        <w:rPr>
          <w:rFonts w:ascii="Times New Roman" w:hAnsi="Times New Roman" w:eastAsia="仿宋_GB2312" w:cs="Times New Roman"/>
          <w:b/>
          <w:sz w:val="32"/>
          <w:szCs w:val="32"/>
          <w:lang w:eastAsia="zh-CN"/>
        </w:rPr>
        <w:t>（四）项目效益情况</w:t>
      </w:r>
      <w:bookmarkEnd w:id="127"/>
    </w:p>
    <w:p>
      <w:pPr>
        <w:spacing w:line="300" w:lineRule="auto"/>
        <w:jc w:val="both"/>
        <w:outlineLvl w:val="2"/>
        <w:rPr>
          <w:rFonts w:ascii="Times New Roman" w:hAnsi="Times New Roman" w:eastAsia="仿宋_GB2312" w:cs="Times New Roman"/>
          <w:b/>
          <w:sz w:val="32"/>
          <w:szCs w:val="32"/>
          <w:lang w:eastAsia="zh-CN"/>
        </w:rPr>
      </w:pPr>
      <w:bookmarkStart w:id="128" w:name="_Toc63706290"/>
      <w:bookmarkStart w:id="129" w:name="_Toc107933426"/>
      <w:bookmarkStart w:id="130" w:name="_Toc83563155"/>
      <w:r>
        <w:rPr>
          <w:rFonts w:ascii="Times New Roman" w:hAnsi="Times New Roman" w:eastAsia="仿宋_GB2312" w:cs="Times New Roman"/>
          <w:b/>
          <w:sz w:val="32"/>
          <w:szCs w:val="32"/>
          <w:lang w:eastAsia="zh-CN"/>
        </w:rPr>
        <w:t>1.社会效益</w:t>
      </w:r>
      <w:bookmarkEnd w:id="128"/>
      <w:bookmarkEnd w:id="129"/>
      <w:bookmarkEnd w:id="130"/>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产出成果对2021年及以后若干年在提升区域治理水平、落实国家政策、推动食品加工与流通行业发展、服务民生大众、维持社会稳定、维护社会公平正义等方面均有显著效益，而且对项目实施单位本身提高履职效率方面也有明显效益，能够以更高标准完成东疆保税港区食品安全监督检查、食品安全宣传工作，本项目产生了良好的社会效益。</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本项目产生了良好的社会效益，该项标准分值4分，实际得分为4分。</w:t>
      </w:r>
    </w:p>
    <w:p>
      <w:pPr>
        <w:spacing w:line="300" w:lineRule="auto"/>
        <w:jc w:val="both"/>
        <w:outlineLvl w:val="2"/>
        <w:rPr>
          <w:rFonts w:ascii="Times New Roman" w:hAnsi="Times New Roman" w:eastAsia="仿宋_GB2312" w:cs="Times New Roman"/>
          <w:b/>
          <w:sz w:val="32"/>
          <w:szCs w:val="32"/>
          <w:lang w:eastAsia="zh-CN"/>
        </w:rPr>
      </w:pPr>
      <w:bookmarkStart w:id="131" w:name="_Toc107933427"/>
      <w:bookmarkStart w:id="132" w:name="_Toc83563156"/>
      <w:bookmarkStart w:id="133" w:name="_Toc63706291"/>
      <w:r>
        <w:rPr>
          <w:rFonts w:hint="eastAsia" w:ascii="Times New Roman" w:hAnsi="Times New Roman" w:eastAsia="仿宋_GB2312" w:cs="Times New Roman"/>
          <w:b/>
          <w:sz w:val="32"/>
          <w:szCs w:val="32"/>
          <w:lang w:eastAsia="zh-CN"/>
        </w:rPr>
        <w:t>2</w:t>
      </w:r>
      <w:r>
        <w:rPr>
          <w:rFonts w:ascii="Times New Roman" w:hAnsi="Times New Roman" w:eastAsia="仿宋_GB2312" w:cs="Times New Roman"/>
          <w:b/>
          <w:sz w:val="32"/>
          <w:szCs w:val="32"/>
          <w:lang w:eastAsia="zh-CN"/>
        </w:rPr>
        <w:t>.可持续影响效益</w:t>
      </w:r>
      <w:bookmarkEnd w:id="131"/>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对项目实施单位工作人员的访谈，本项目自实施运营以来整体运行情况较稳定，项目承担单位按合同约定及时、高质量完成各期项目成果。项目实施单位指定专门人员负责配合、监督项目实施，确保项目稳定运行。</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同时，由于本项目成果的监督、保障和引领性质，项目产出所带来的社会效益均可在今后若干年持续产生良好影响。</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本项目产生了良好的可持续影响效益，该项标准分值4分，实际得分为4分。</w:t>
      </w:r>
    </w:p>
    <w:p>
      <w:pPr>
        <w:spacing w:line="300" w:lineRule="auto"/>
        <w:jc w:val="both"/>
        <w:outlineLvl w:val="2"/>
        <w:rPr>
          <w:rFonts w:ascii="Times New Roman" w:hAnsi="Times New Roman" w:eastAsia="仿宋_GB2312" w:cs="Times New Roman"/>
          <w:b/>
          <w:sz w:val="32"/>
          <w:szCs w:val="32"/>
          <w:lang w:eastAsia="zh-CN"/>
        </w:rPr>
      </w:pPr>
      <w:bookmarkStart w:id="134" w:name="_Toc107933428"/>
      <w:r>
        <w:rPr>
          <w:rFonts w:hint="eastAsia" w:ascii="Times New Roman" w:hAnsi="Times New Roman" w:eastAsia="仿宋_GB2312" w:cs="Times New Roman"/>
          <w:b/>
          <w:sz w:val="32"/>
          <w:szCs w:val="32"/>
          <w:lang w:eastAsia="zh-CN"/>
        </w:rPr>
        <w:t>3</w:t>
      </w:r>
      <w:r>
        <w:rPr>
          <w:rFonts w:ascii="Times New Roman" w:hAnsi="Times New Roman" w:eastAsia="仿宋_GB2312" w:cs="Times New Roman"/>
          <w:b/>
          <w:sz w:val="32"/>
          <w:szCs w:val="32"/>
          <w:lang w:eastAsia="zh-CN"/>
        </w:rPr>
        <w:t>.满意度</w:t>
      </w:r>
      <w:bookmarkEnd w:id="132"/>
      <w:bookmarkEnd w:id="133"/>
      <w:bookmarkEnd w:id="134"/>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指标评价采用调查问卷法，通过问卷访谈的形式对项目实施单位的满意度情况进行调查并打分。问卷内容包括对聘用第三方机构提供的食品安全监管服务、食品安全宣传、食品安全应急预案编制的质量和及时性等5个满意度问题，每个问题设置4个满意维度，每份问卷满分共100分。共发放问卷5份，回收问卷5份。5张问卷平均分为100分，本项目服务对象平均满意度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综上分析，本项目服务对象满意度为100%，本指标标准分值为8分，根据评分标准及规则实际得分为8分。</w:t>
      </w:r>
    </w:p>
    <w:p>
      <w:pPr>
        <w:spacing w:line="300" w:lineRule="auto"/>
        <w:jc w:val="both"/>
        <w:outlineLvl w:val="1"/>
        <w:rPr>
          <w:rFonts w:ascii="Times New Roman" w:hAnsi="Times New Roman" w:eastAsia="仿宋_GB2312" w:cs="Times New Roman"/>
          <w:b/>
          <w:sz w:val="32"/>
          <w:szCs w:val="32"/>
          <w:lang w:eastAsia="zh-CN"/>
        </w:rPr>
      </w:pPr>
      <w:bookmarkStart w:id="135" w:name="_Toc112070763"/>
      <w:r>
        <w:rPr>
          <w:rFonts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eastAsia="zh-CN"/>
        </w:rPr>
        <w:t>五</w:t>
      </w:r>
      <w:r>
        <w:rPr>
          <w:rFonts w:ascii="Times New Roman" w:hAnsi="Times New Roman" w:eastAsia="仿宋_GB2312" w:cs="Times New Roman"/>
          <w:b/>
          <w:sz w:val="32"/>
          <w:szCs w:val="32"/>
          <w:lang w:eastAsia="zh-CN"/>
        </w:rPr>
        <w:t>）项目</w:t>
      </w:r>
      <w:r>
        <w:rPr>
          <w:rFonts w:hint="eastAsia" w:ascii="Times New Roman" w:hAnsi="Times New Roman" w:eastAsia="仿宋_GB2312" w:cs="Times New Roman"/>
          <w:b/>
          <w:sz w:val="32"/>
          <w:szCs w:val="32"/>
          <w:lang w:eastAsia="zh-CN"/>
        </w:rPr>
        <w:t>自评</w:t>
      </w:r>
      <w:r>
        <w:rPr>
          <w:rFonts w:ascii="Times New Roman" w:hAnsi="Times New Roman" w:eastAsia="仿宋_GB2312" w:cs="Times New Roman"/>
          <w:b/>
          <w:sz w:val="32"/>
          <w:szCs w:val="32"/>
          <w:lang w:eastAsia="zh-CN"/>
        </w:rPr>
        <w:t>情况</w:t>
      </w:r>
      <w:bookmarkEnd w:id="135"/>
    </w:p>
    <w:p>
      <w:pPr>
        <w:spacing w:line="300" w:lineRule="auto"/>
        <w:jc w:val="both"/>
        <w:outlineLvl w:val="2"/>
        <w:rPr>
          <w:rFonts w:ascii="Times New Roman" w:hAnsi="Times New Roman" w:eastAsia="仿宋_GB2312" w:cs="Times New Roman"/>
          <w:b/>
          <w:sz w:val="32"/>
          <w:szCs w:val="32"/>
          <w:lang w:eastAsia="zh-CN"/>
        </w:rPr>
      </w:pPr>
      <w:bookmarkStart w:id="136" w:name="_Toc83563158"/>
      <w:bookmarkStart w:id="137" w:name="_Toc63706293"/>
      <w:bookmarkStart w:id="138" w:name="_Toc107933430"/>
      <w:r>
        <w:rPr>
          <w:rFonts w:hint="eastAsia" w:ascii="Times New Roman" w:hAnsi="Times New Roman" w:eastAsia="仿宋_GB2312" w:cs="Times New Roman"/>
          <w:b/>
          <w:sz w:val="32"/>
          <w:szCs w:val="32"/>
          <w:lang w:eastAsia="zh-CN"/>
        </w:rPr>
        <w:t>1</w:t>
      </w:r>
      <w:r>
        <w:rPr>
          <w:rFonts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eastAsia="zh-CN"/>
        </w:rPr>
        <w:t>项目支出绩效自评报告和自评表</w:t>
      </w:r>
      <w:bookmarkEnd w:id="136"/>
      <w:bookmarkEnd w:id="137"/>
      <w:bookmarkEnd w:id="138"/>
    </w:p>
    <w:p>
      <w:pPr>
        <w:spacing w:line="300" w:lineRule="auto"/>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项目实施单位按照规定及时报送了绩效自评表及绩效自评报告，报告撰写、填写质量基本满足要求。</w:t>
      </w:r>
    </w:p>
    <w:p>
      <w:pPr>
        <w:spacing w:line="300" w:lineRule="auto"/>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项目实施单位报送的自评材料及时、质量满足要求，该项标准分值4分，实际得分为4分。</w:t>
      </w:r>
    </w:p>
    <w:p>
      <w:pPr>
        <w:spacing w:line="600" w:lineRule="exact"/>
        <w:ind w:firstLine="656" w:firstLineChars="200"/>
        <w:jc w:val="center"/>
        <w:outlineLvl w:val="0"/>
        <w:rPr>
          <w:rFonts w:ascii="Times New Roman" w:hAnsi="Times New Roman" w:eastAsia="黑体" w:cs="Times New Roman"/>
          <w:spacing w:val="-4"/>
          <w:w w:val="105"/>
          <w:sz w:val="32"/>
          <w:szCs w:val="32"/>
          <w:lang w:eastAsia="zh-CN"/>
        </w:rPr>
        <w:sectPr>
          <w:pgSz w:w="11906" w:h="16838"/>
          <w:pgMar w:top="1440" w:right="1800" w:bottom="1440" w:left="1800" w:header="851" w:footer="992" w:gutter="0"/>
          <w:cols w:space="425" w:num="1"/>
          <w:docGrid w:type="lines" w:linePitch="312" w:charSpace="0"/>
        </w:sectPr>
      </w:pPr>
    </w:p>
    <w:p>
      <w:pPr>
        <w:spacing w:line="300" w:lineRule="auto"/>
        <w:jc w:val="center"/>
        <w:outlineLvl w:val="0"/>
        <w:rPr>
          <w:rFonts w:ascii="Times New Roman" w:hAnsi="Times New Roman" w:eastAsia="黑体" w:cs="Times New Roman"/>
          <w:spacing w:val="-4"/>
          <w:w w:val="105"/>
          <w:sz w:val="32"/>
          <w:szCs w:val="32"/>
          <w:lang w:eastAsia="zh-CN"/>
        </w:rPr>
      </w:pPr>
      <w:bookmarkStart w:id="139" w:name="_Toc112070764"/>
      <w:r>
        <w:rPr>
          <w:rFonts w:ascii="Times New Roman" w:hAnsi="Times New Roman" w:eastAsia="黑体" w:cs="Times New Roman"/>
          <w:spacing w:val="-4"/>
          <w:w w:val="105"/>
          <w:sz w:val="32"/>
          <w:szCs w:val="32"/>
          <w:lang w:eastAsia="zh-CN"/>
        </w:rPr>
        <w:t>五、主要经验及做法、存在的问题及原因分析</w:t>
      </w:r>
      <w:bookmarkEnd w:id="139"/>
      <w:r>
        <w:rPr>
          <w:rFonts w:ascii="Times New Roman" w:hAnsi="Times New Roman" w:eastAsia="黑体" w:cs="Times New Roman"/>
          <w:spacing w:val="-4"/>
          <w:w w:val="105"/>
          <w:sz w:val="32"/>
          <w:szCs w:val="32"/>
          <w:lang w:eastAsia="zh-CN"/>
        </w:rPr>
        <w:t xml:space="preserve"> </w:t>
      </w:r>
    </w:p>
    <w:p>
      <w:pPr>
        <w:spacing w:line="300" w:lineRule="auto"/>
        <w:outlineLvl w:val="1"/>
        <w:rPr>
          <w:rFonts w:ascii="Times New Roman" w:hAnsi="Times New Roman" w:eastAsia="仿宋_GB2312" w:cs="Times New Roman"/>
          <w:b/>
          <w:sz w:val="32"/>
          <w:szCs w:val="32"/>
          <w:lang w:eastAsia="zh-CN"/>
        </w:rPr>
      </w:pPr>
      <w:bookmarkStart w:id="140" w:name="_Toc460413906"/>
      <w:bookmarkStart w:id="141" w:name="_Toc112070765"/>
      <w:r>
        <w:rPr>
          <w:rFonts w:ascii="Times New Roman" w:hAnsi="Times New Roman" w:eastAsia="仿宋_GB2312" w:cs="Times New Roman"/>
          <w:b/>
          <w:sz w:val="32"/>
          <w:szCs w:val="32"/>
          <w:lang w:eastAsia="zh-CN"/>
        </w:rPr>
        <w:t>（一）项目经验</w:t>
      </w:r>
      <w:bookmarkEnd w:id="140"/>
      <w:bookmarkEnd w:id="141"/>
    </w:p>
    <w:p>
      <w:pPr>
        <w:spacing w:line="300" w:lineRule="auto"/>
        <w:ind w:firstLine="640" w:firstLineChars="200"/>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本项目积极响应中共天津市委 天津市人民政府印发的《关于进一步加强食品安全工作的措施》（津党发[2020]3号），天津市滨海新区人民政府办公室关于印发的《滨海新区国家食品安全示范区创建实施方案》、《滨海新区国家农产品质量安全区创建实施方案》（津滨政办发[2018]45号）等文件要求，快速实施，取得了较好的工作成效。</w:t>
      </w:r>
    </w:p>
    <w:p>
      <w:pPr>
        <w:spacing w:line="300" w:lineRule="auto"/>
        <w:outlineLvl w:val="1"/>
        <w:rPr>
          <w:rFonts w:ascii="Times New Roman" w:hAnsi="Times New Roman" w:eastAsia="仿宋_GB2312" w:cs="Times New Roman"/>
          <w:b/>
          <w:sz w:val="32"/>
          <w:szCs w:val="32"/>
          <w:lang w:eastAsia="zh-CN"/>
        </w:rPr>
      </w:pPr>
      <w:bookmarkStart w:id="142" w:name="_Toc460413907"/>
      <w:bookmarkStart w:id="143" w:name="_Toc112070766"/>
      <w:r>
        <w:rPr>
          <w:rFonts w:ascii="Times New Roman" w:hAnsi="Times New Roman" w:eastAsia="仿宋_GB2312" w:cs="Times New Roman"/>
          <w:b/>
          <w:sz w:val="32"/>
          <w:szCs w:val="32"/>
          <w:lang w:eastAsia="zh-CN"/>
        </w:rPr>
        <w:t>（二）存在问题</w:t>
      </w:r>
      <w:bookmarkEnd w:id="142"/>
      <w:r>
        <w:rPr>
          <w:rFonts w:ascii="Times New Roman" w:hAnsi="Times New Roman" w:eastAsia="仿宋_GB2312" w:cs="Times New Roman"/>
          <w:b/>
          <w:sz w:val="32"/>
          <w:szCs w:val="32"/>
          <w:lang w:eastAsia="zh-CN"/>
        </w:rPr>
        <w:t>及原因</w:t>
      </w:r>
      <w:bookmarkEnd w:id="143"/>
    </w:p>
    <w:p>
      <w:pPr>
        <w:spacing w:line="300" w:lineRule="auto"/>
        <w:ind w:firstLine="640" w:firstLineChars="200"/>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（1）本项目缺少相应的业务管理制度。</w:t>
      </w:r>
    </w:p>
    <w:p>
      <w:pPr>
        <w:spacing w:line="300" w:lineRule="auto"/>
        <w:ind w:firstLine="640" w:firstLineChars="200"/>
        <w:rPr>
          <w:rFonts w:ascii="Times New Roman" w:hAnsi="Times New Roman" w:eastAsia="仿宋_GB2312" w:cs="Times New Roman"/>
          <w:sz w:val="32"/>
          <w:szCs w:val="32"/>
          <w:lang w:eastAsia="zh-CN"/>
        </w:rPr>
        <w:sectPr>
          <w:pgSz w:w="11906" w:h="16838"/>
          <w:pgMar w:top="1440" w:right="1800" w:bottom="1440" w:left="1800" w:header="851" w:footer="992" w:gutter="0"/>
          <w:cols w:space="425" w:num="1"/>
          <w:docGrid w:type="lines" w:linePitch="312" w:charSpace="0"/>
        </w:sectPr>
      </w:pPr>
    </w:p>
    <w:p>
      <w:pPr>
        <w:spacing w:line="300" w:lineRule="auto"/>
        <w:jc w:val="center"/>
        <w:outlineLvl w:val="0"/>
        <w:rPr>
          <w:rFonts w:ascii="Times New Roman" w:hAnsi="Times New Roman" w:eastAsia="黑体" w:cs="Times New Roman"/>
          <w:spacing w:val="-4"/>
          <w:w w:val="105"/>
          <w:sz w:val="32"/>
          <w:szCs w:val="32"/>
          <w:lang w:eastAsia="zh-CN"/>
        </w:rPr>
      </w:pPr>
      <w:bookmarkStart w:id="144" w:name="_Toc112070767"/>
      <w:r>
        <w:rPr>
          <w:rFonts w:ascii="Times New Roman" w:hAnsi="Times New Roman" w:eastAsia="黑体" w:cs="Times New Roman"/>
          <w:spacing w:val="-4"/>
          <w:w w:val="105"/>
          <w:sz w:val="32"/>
          <w:szCs w:val="32"/>
          <w:lang w:eastAsia="zh-CN"/>
        </w:rPr>
        <w:t>六、有关建议</w:t>
      </w:r>
      <w:bookmarkEnd w:id="144"/>
    </w:p>
    <w:p>
      <w:pPr>
        <w:spacing w:line="300" w:lineRule="auto"/>
        <w:jc w:val="both"/>
        <w:outlineLvl w:val="1"/>
        <w:rPr>
          <w:rFonts w:ascii="Times New Roman" w:hAnsi="Times New Roman" w:eastAsia="仿宋_GB2312" w:cs="Times New Roman"/>
          <w:b/>
          <w:sz w:val="32"/>
          <w:szCs w:val="32"/>
          <w:lang w:eastAsia="zh-CN"/>
        </w:rPr>
      </w:pPr>
      <w:bookmarkStart w:id="145" w:name="_Toc112070768"/>
      <w:r>
        <w:rPr>
          <w:rFonts w:hint="eastAsia" w:ascii="Times New Roman" w:hAnsi="Times New Roman" w:eastAsia="仿宋_GB2312" w:cs="Times New Roman"/>
          <w:b/>
          <w:sz w:val="32"/>
          <w:szCs w:val="32"/>
          <w:lang w:eastAsia="zh-CN"/>
        </w:rPr>
        <w:t>（一）制定业务管理制度，加强执行监管</w:t>
      </w:r>
      <w:bookmarkEnd w:id="145"/>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本项目由项目实施单位委托第三方机构开展，从加强业务风险管理的角度，建议项目实施单位制定业务管理制度，加强执行监管，明确第三方机构履行业务过程中的监督、检查、考核机制，保证项目顺利开展。</w:t>
      </w:r>
    </w:p>
    <w:p>
      <w:pPr>
        <w:spacing w:line="300" w:lineRule="auto"/>
        <w:ind w:firstLine="640" w:firstLineChars="200"/>
        <w:jc w:val="both"/>
        <w:rPr>
          <w:rFonts w:ascii="Times New Roman" w:hAnsi="Times New Roman" w:eastAsia="仿宋_GB2312" w:cs="Times New Roman"/>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0772604"/>
      <w:docPartObj>
        <w:docPartGallery w:val="AutoText"/>
      </w:docPartObj>
    </w:sdtPr>
    <w:sdtContent>
      <w:p>
        <w:pPr>
          <w:pStyle w:val="6"/>
          <w:jc w:val="center"/>
        </w:pPr>
        <w:r>
          <w:fldChar w:fldCharType="begin"/>
        </w:r>
        <w:r>
          <w:instrText xml:space="preserve">PAGE   \* MERGEFORMAT</w:instrText>
        </w:r>
        <w:r>
          <w:fldChar w:fldCharType="separate"/>
        </w:r>
        <w:r>
          <w:rPr>
            <w:lang w:val="zh-CN" w:eastAsia="zh-CN"/>
          </w:rPr>
          <w:t>I</w:t>
        </w:r>
        <w:r>
          <w:fldChar w:fldCharType="end"/>
        </w:r>
      </w:p>
    </w:sdtContent>
  </w:sdt>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1195912"/>
      <w:docPartObj>
        <w:docPartGallery w:val="AutoText"/>
      </w:docPartObj>
    </w:sdtPr>
    <w:sdtContent>
      <w:p>
        <w:pPr>
          <w:pStyle w:val="6"/>
          <w:jc w:val="center"/>
        </w:pPr>
        <w:r>
          <w:fldChar w:fldCharType="begin"/>
        </w:r>
        <w:r>
          <w:instrText xml:space="preserve">PAGE   \* MERGEFORMAT</w:instrText>
        </w:r>
        <w:r>
          <w:fldChar w:fldCharType="separate"/>
        </w:r>
        <w:r>
          <w:rPr>
            <w:lang w:val="zh-CN" w:eastAsia="zh-CN"/>
          </w:rPr>
          <w:t>26</w:t>
        </w:r>
        <w: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lang w:eastAsia="zh-CN"/>
      </w:rPr>
    </w:pPr>
    <w:r>
      <w:rPr>
        <w:rFonts w:hint="eastAsia"/>
        <w:lang w:eastAsia="zh-CN"/>
      </w:rPr>
      <w:t>食品安全委员会工作经费项目支出绩效评价报告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0Yzk2ZjE1YmE3ODZlMzI2ODEwYjlhMTc2ODBjNjAifQ=="/>
  </w:docVars>
  <w:rsids>
    <w:rsidRoot w:val="00D27F3A"/>
    <w:rsid w:val="000000CA"/>
    <w:rsid w:val="00001A62"/>
    <w:rsid w:val="000031B8"/>
    <w:rsid w:val="000050C1"/>
    <w:rsid w:val="0000702D"/>
    <w:rsid w:val="00010135"/>
    <w:rsid w:val="000120A7"/>
    <w:rsid w:val="000129D7"/>
    <w:rsid w:val="00013BA4"/>
    <w:rsid w:val="00015670"/>
    <w:rsid w:val="00015CF1"/>
    <w:rsid w:val="000177CC"/>
    <w:rsid w:val="00020D41"/>
    <w:rsid w:val="00021C38"/>
    <w:rsid w:val="00024058"/>
    <w:rsid w:val="00025BFF"/>
    <w:rsid w:val="00025DBC"/>
    <w:rsid w:val="000276E6"/>
    <w:rsid w:val="0003153D"/>
    <w:rsid w:val="00035570"/>
    <w:rsid w:val="0003672D"/>
    <w:rsid w:val="00036DEB"/>
    <w:rsid w:val="00040088"/>
    <w:rsid w:val="0004142E"/>
    <w:rsid w:val="000420E4"/>
    <w:rsid w:val="00046E90"/>
    <w:rsid w:val="0004705B"/>
    <w:rsid w:val="00047D61"/>
    <w:rsid w:val="00050987"/>
    <w:rsid w:val="000533F6"/>
    <w:rsid w:val="00053736"/>
    <w:rsid w:val="000614AA"/>
    <w:rsid w:val="0006252A"/>
    <w:rsid w:val="000648BA"/>
    <w:rsid w:val="00067C3E"/>
    <w:rsid w:val="00067F5A"/>
    <w:rsid w:val="00071F79"/>
    <w:rsid w:val="00072406"/>
    <w:rsid w:val="00073835"/>
    <w:rsid w:val="000740EF"/>
    <w:rsid w:val="000744D6"/>
    <w:rsid w:val="000749C9"/>
    <w:rsid w:val="00074AC3"/>
    <w:rsid w:val="00080308"/>
    <w:rsid w:val="0008324E"/>
    <w:rsid w:val="000846E1"/>
    <w:rsid w:val="0009650E"/>
    <w:rsid w:val="0009678C"/>
    <w:rsid w:val="000A1FA1"/>
    <w:rsid w:val="000A2905"/>
    <w:rsid w:val="000A3907"/>
    <w:rsid w:val="000A3E5C"/>
    <w:rsid w:val="000B0254"/>
    <w:rsid w:val="000B24BF"/>
    <w:rsid w:val="000B32EB"/>
    <w:rsid w:val="000B4232"/>
    <w:rsid w:val="000B427B"/>
    <w:rsid w:val="000B49C8"/>
    <w:rsid w:val="000C457A"/>
    <w:rsid w:val="000C7FD5"/>
    <w:rsid w:val="000D069B"/>
    <w:rsid w:val="000D2E6E"/>
    <w:rsid w:val="000D5DAF"/>
    <w:rsid w:val="000D63EC"/>
    <w:rsid w:val="000D6651"/>
    <w:rsid w:val="000D7660"/>
    <w:rsid w:val="000E0460"/>
    <w:rsid w:val="000E5B99"/>
    <w:rsid w:val="000E6BF8"/>
    <w:rsid w:val="000E7399"/>
    <w:rsid w:val="000F18B8"/>
    <w:rsid w:val="000F2483"/>
    <w:rsid w:val="000F2D50"/>
    <w:rsid w:val="000F34D8"/>
    <w:rsid w:val="000F362C"/>
    <w:rsid w:val="000F477E"/>
    <w:rsid w:val="000F4C49"/>
    <w:rsid w:val="000F778C"/>
    <w:rsid w:val="0010108C"/>
    <w:rsid w:val="00103D26"/>
    <w:rsid w:val="001043E2"/>
    <w:rsid w:val="001049EB"/>
    <w:rsid w:val="001069D3"/>
    <w:rsid w:val="00106CFD"/>
    <w:rsid w:val="00107292"/>
    <w:rsid w:val="00113F4E"/>
    <w:rsid w:val="00113FB4"/>
    <w:rsid w:val="00114815"/>
    <w:rsid w:val="001151E0"/>
    <w:rsid w:val="00117637"/>
    <w:rsid w:val="00117CFF"/>
    <w:rsid w:val="00122DFF"/>
    <w:rsid w:val="00131099"/>
    <w:rsid w:val="0013530F"/>
    <w:rsid w:val="00135DAD"/>
    <w:rsid w:val="00136907"/>
    <w:rsid w:val="00140AD6"/>
    <w:rsid w:val="001411F4"/>
    <w:rsid w:val="001424B5"/>
    <w:rsid w:val="00142676"/>
    <w:rsid w:val="00142A12"/>
    <w:rsid w:val="001430B5"/>
    <w:rsid w:val="00147C52"/>
    <w:rsid w:val="00147FA0"/>
    <w:rsid w:val="0015092B"/>
    <w:rsid w:val="001562CB"/>
    <w:rsid w:val="00157668"/>
    <w:rsid w:val="00160036"/>
    <w:rsid w:val="00160D1F"/>
    <w:rsid w:val="00160FBE"/>
    <w:rsid w:val="001639C9"/>
    <w:rsid w:val="001644C9"/>
    <w:rsid w:val="00166E1E"/>
    <w:rsid w:val="001703EC"/>
    <w:rsid w:val="00170D7C"/>
    <w:rsid w:val="001713B3"/>
    <w:rsid w:val="00173816"/>
    <w:rsid w:val="0017577C"/>
    <w:rsid w:val="00180503"/>
    <w:rsid w:val="00182005"/>
    <w:rsid w:val="00182385"/>
    <w:rsid w:val="00183440"/>
    <w:rsid w:val="0018594E"/>
    <w:rsid w:val="00187E4E"/>
    <w:rsid w:val="00195A05"/>
    <w:rsid w:val="00196122"/>
    <w:rsid w:val="00197C96"/>
    <w:rsid w:val="001A31CF"/>
    <w:rsid w:val="001A4BCE"/>
    <w:rsid w:val="001B086D"/>
    <w:rsid w:val="001B2AD4"/>
    <w:rsid w:val="001B4E15"/>
    <w:rsid w:val="001B51CB"/>
    <w:rsid w:val="001B58C5"/>
    <w:rsid w:val="001C039B"/>
    <w:rsid w:val="001C3097"/>
    <w:rsid w:val="001C6B4C"/>
    <w:rsid w:val="001C7F05"/>
    <w:rsid w:val="001D7848"/>
    <w:rsid w:val="001E1E00"/>
    <w:rsid w:val="001E3992"/>
    <w:rsid w:val="001E458F"/>
    <w:rsid w:val="001E6B0B"/>
    <w:rsid w:val="001E7756"/>
    <w:rsid w:val="001F043E"/>
    <w:rsid w:val="001F05DE"/>
    <w:rsid w:val="001F559F"/>
    <w:rsid w:val="00200A30"/>
    <w:rsid w:val="0020397A"/>
    <w:rsid w:val="00206FBB"/>
    <w:rsid w:val="00207B57"/>
    <w:rsid w:val="002115F8"/>
    <w:rsid w:val="00213271"/>
    <w:rsid w:val="00216D3F"/>
    <w:rsid w:val="00221505"/>
    <w:rsid w:val="00223E6F"/>
    <w:rsid w:val="002247D3"/>
    <w:rsid w:val="0022570C"/>
    <w:rsid w:val="0023161B"/>
    <w:rsid w:val="0023167C"/>
    <w:rsid w:val="00232CE7"/>
    <w:rsid w:val="00235B18"/>
    <w:rsid w:val="002400D2"/>
    <w:rsid w:val="00240785"/>
    <w:rsid w:val="00240DFB"/>
    <w:rsid w:val="0024460A"/>
    <w:rsid w:val="00245C36"/>
    <w:rsid w:val="002461AB"/>
    <w:rsid w:val="00247D7D"/>
    <w:rsid w:val="0025014B"/>
    <w:rsid w:val="002523B6"/>
    <w:rsid w:val="00252B41"/>
    <w:rsid w:val="00253C6F"/>
    <w:rsid w:val="00254363"/>
    <w:rsid w:val="002564DE"/>
    <w:rsid w:val="00256818"/>
    <w:rsid w:val="00257C35"/>
    <w:rsid w:val="00257F75"/>
    <w:rsid w:val="0026414F"/>
    <w:rsid w:val="0026474C"/>
    <w:rsid w:val="0027321C"/>
    <w:rsid w:val="00282956"/>
    <w:rsid w:val="00283A6C"/>
    <w:rsid w:val="00284787"/>
    <w:rsid w:val="00286856"/>
    <w:rsid w:val="00290BC7"/>
    <w:rsid w:val="00290CDD"/>
    <w:rsid w:val="002937F4"/>
    <w:rsid w:val="00294975"/>
    <w:rsid w:val="002960AF"/>
    <w:rsid w:val="00296D09"/>
    <w:rsid w:val="002A34C2"/>
    <w:rsid w:val="002A5439"/>
    <w:rsid w:val="002A5B88"/>
    <w:rsid w:val="002A633E"/>
    <w:rsid w:val="002A7767"/>
    <w:rsid w:val="002B1D0B"/>
    <w:rsid w:val="002C22C3"/>
    <w:rsid w:val="002C2AA7"/>
    <w:rsid w:val="002C4E3C"/>
    <w:rsid w:val="002D03C1"/>
    <w:rsid w:val="002D05BB"/>
    <w:rsid w:val="002D10A5"/>
    <w:rsid w:val="002D2F82"/>
    <w:rsid w:val="002D3081"/>
    <w:rsid w:val="002D6EAD"/>
    <w:rsid w:val="002E1B8F"/>
    <w:rsid w:val="002E447E"/>
    <w:rsid w:val="002E4EAE"/>
    <w:rsid w:val="002E79B8"/>
    <w:rsid w:val="002F1025"/>
    <w:rsid w:val="002F2765"/>
    <w:rsid w:val="002F4E88"/>
    <w:rsid w:val="002F5E1F"/>
    <w:rsid w:val="00301FD3"/>
    <w:rsid w:val="00302DD3"/>
    <w:rsid w:val="003042C3"/>
    <w:rsid w:val="0031044E"/>
    <w:rsid w:val="00310C1B"/>
    <w:rsid w:val="00311940"/>
    <w:rsid w:val="003156D6"/>
    <w:rsid w:val="00321AD8"/>
    <w:rsid w:val="003225A4"/>
    <w:rsid w:val="003302DF"/>
    <w:rsid w:val="0033030F"/>
    <w:rsid w:val="003305C9"/>
    <w:rsid w:val="003359D2"/>
    <w:rsid w:val="00335A7E"/>
    <w:rsid w:val="003367A5"/>
    <w:rsid w:val="00336CFD"/>
    <w:rsid w:val="003400B0"/>
    <w:rsid w:val="00341F97"/>
    <w:rsid w:val="003457BE"/>
    <w:rsid w:val="00351CAF"/>
    <w:rsid w:val="00352C4C"/>
    <w:rsid w:val="00352F0B"/>
    <w:rsid w:val="003550D2"/>
    <w:rsid w:val="00357D16"/>
    <w:rsid w:val="00364A47"/>
    <w:rsid w:val="00366EAE"/>
    <w:rsid w:val="003725FF"/>
    <w:rsid w:val="003754D9"/>
    <w:rsid w:val="00375639"/>
    <w:rsid w:val="003760ED"/>
    <w:rsid w:val="003858D6"/>
    <w:rsid w:val="00385C9A"/>
    <w:rsid w:val="003876D3"/>
    <w:rsid w:val="00387994"/>
    <w:rsid w:val="00390216"/>
    <w:rsid w:val="00392DC5"/>
    <w:rsid w:val="0039336A"/>
    <w:rsid w:val="003951A6"/>
    <w:rsid w:val="0039731C"/>
    <w:rsid w:val="003A1927"/>
    <w:rsid w:val="003A415C"/>
    <w:rsid w:val="003A5383"/>
    <w:rsid w:val="003A5EE3"/>
    <w:rsid w:val="003A7D37"/>
    <w:rsid w:val="003B0EC9"/>
    <w:rsid w:val="003B10C6"/>
    <w:rsid w:val="003B1534"/>
    <w:rsid w:val="003B1E07"/>
    <w:rsid w:val="003B1E94"/>
    <w:rsid w:val="003B3A8B"/>
    <w:rsid w:val="003B77C4"/>
    <w:rsid w:val="003B78BE"/>
    <w:rsid w:val="003C35E2"/>
    <w:rsid w:val="003C73AF"/>
    <w:rsid w:val="003D1CCE"/>
    <w:rsid w:val="003D1F8F"/>
    <w:rsid w:val="003D34AA"/>
    <w:rsid w:val="003D3A6C"/>
    <w:rsid w:val="003D5032"/>
    <w:rsid w:val="003D67D0"/>
    <w:rsid w:val="003D7313"/>
    <w:rsid w:val="003E0288"/>
    <w:rsid w:val="003E0775"/>
    <w:rsid w:val="003E19AC"/>
    <w:rsid w:val="003E25F0"/>
    <w:rsid w:val="003E3DB4"/>
    <w:rsid w:val="003E4DAA"/>
    <w:rsid w:val="003E6443"/>
    <w:rsid w:val="003F288B"/>
    <w:rsid w:val="003F4CC7"/>
    <w:rsid w:val="00402D90"/>
    <w:rsid w:val="0040306D"/>
    <w:rsid w:val="00404367"/>
    <w:rsid w:val="004068A4"/>
    <w:rsid w:val="00410C0B"/>
    <w:rsid w:val="004129ED"/>
    <w:rsid w:val="004169ED"/>
    <w:rsid w:val="00417373"/>
    <w:rsid w:val="004202F5"/>
    <w:rsid w:val="004213AC"/>
    <w:rsid w:val="0042172A"/>
    <w:rsid w:val="00427779"/>
    <w:rsid w:val="004345BF"/>
    <w:rsid w:val="00434D38"/>
    <w:rsid w:val="00436FFC"/>
    <w:rsid w:val="0044567D"/>
    <w:rsid w:val="00451089"/>
    <w:rsid w:val="004515C1"/>
    <w:rsid w:val="004535DB"/>
    <w:rsid w:val="004566A3"/>
    <w:rsid w:val="004575C0"/>
    <w:rsid w:val="004606E0"/>
    <w:rsid w:val="00463CA1"/>
    <w:rsid w:val="00467951"/>
    <w:rsid w:val="00473657"/>
    <w:rsid w:val="00474CF9"/>
    <w:rsid w:val="00476682"/>
    <w:rsid w:val="00480EF7"/>
    <w:rsid w:val="004855A8"/>
    <w:rsid w:val="00486409"/>
    <w:rsid w:val="00490332"/>
    <w:rsid w:val="004917BB"/>
    <w:rsid w:val="00493F42"/>
    <w:rsid w:val="004971E0"/>
    <w:rsid w:val="004A2C19"/>
    <w:rsid w:val="004A53CF"/>
    <w:rsid w:val="004A6A16"/>
    <w:rsid w:val="004A6F09"/>
    <w:rsid w:val="004A701F"/>
    <w:rsid w:val="004A7897"/>
    <w:rsid w:val="004B07A0"/>
    <w:rsid w:val="004B0952"/>
    <w:rsid w:val="004B5655"/>
    <w:rsid w:val="004B6F1D"/>
    <w:rsid w:val="004C1DA9"/>
    <w:rsid w:val="004C2294"/>
    <w:rsid w:val="004D088D"/>
    <w:rsid w:val="004D134F"/>
    <w:rsid w:val="004D1C6C"/>
    <w:rsid w:val="004D3D3E"/>
    <w:rsid w:val="004D4054"/>
    <w:rsid w:val="004D4DB1"/>
    <w:rsid w:val="004D55A9"/>
    <w:rsid w:val="004D5ABF"/>
    <w:rsid w:val="004D754F"/>
    <w:rsid w:val="004D79C3"/>
    <w:rsid w:val="004E459D"/>
    <w:rsid w:val="004E5171"/>
    <w:rsid w:val="004E663C"/>
    <w:rsid w:val="004E677D"/>
    <w:rsid w:val="004F1DDD"/>
    <w:rsid w:val="004F4625"/>
    <w:rsid w:val="0050058A"/>
    <w:rsid w:val="005011F1"/>
    <w:rsid w:val="00502BA7"/>
    <w:rsid w:val="005043F0"/>
    <w:rsid w:val="005135FD"/>
    <w:rsid w:val="0052160F"/>
    <w:rsid w:val="00521E40"/>
    <w:rsid w:val="00522EBF"/>
    <w:rsid w:val="00530189"/>
    <w:rsid w:val="00532662"/>
    <w:rsid w:val="00536071"/>
    <w:rsid w:val="00536142"/>
    <w:rsid w:val="005410E2"/>
    <w:rsid w:val="005412E0"/>
    <w:rsid w:val="005433BD"/>
    <w:rsid w:val="0054455C"/>
    <w:rsid w:val="005466CE"/>
    <w:rsid w:val="00552243"/>
    <w:rsid w:val="005522A3"/>
    <w:rsid w:val="005523AA"/>
    <w:rsid w:val="005603C0"/>
    <w:rsid w:val="005604C4"/>
    <w:rsid w:val="005606EC"/>
    <w:rsid w:val="00561E4E"/>
    <w:rsid w:val="0057179A"/>
    <w:rsid w:val="00584E5C"/>
    <w:rsid w:val="00586576"/>
    <w:rsid w:val="0058711E"/>
    <w:rsid w:val="005918C6"/>
    <w:rsid w:val="005936FC"/>
    <w:rsid w:val="0059413C"/>
    <w:rsid w:val="00594369"/>
    <w:rsid w:val="00594E10"/>
    <w:rsid w:val="005977E0"/>
    <w:rsid w:val="005A1EC9"/>
    <w:rsid w:val="005A2660"/>
    <w:rsid w:val="005A4048"/>
    <w:rsid w:val="005B09D7"/>
    <w:rsid w:val="005B3992"/>
    <w:rsid w:val="005B5935"/>
    <w:rsid w:val="005B7C78"/>
    <w:rsid w:val="005C03D4"/>
    <w:rsid w:val="005C0A34"/>
    <w:rsid w:val="005C12F7"/>
    <w:rsid w:val="005C28D6"/>
    <w:rsid w:val="005C5945"/>
    <w:rsid w:val="005C5C72"/>
    <w:rsid w:val="005C5F36"/>
    <w:rsid w:val="005C63F4"/>
    <w:rsid w:val="005C6E6C"/>
    <w:rsid w:val="005C7CB3"/>
    <w:rsid w:val="005D0F33"/>
    <w:rsid w:val="005D0F6C"/>
    <w:rsid w:val="005D2824"/>
    <w:rsid w:val="005D403B"/>
    <w:rsid w:val="005D41AE"/>
    <w:rsid w:val="005E56F2"/>
    <w:rsid w:val="005F0699"/>
    <w:rsid w:val="005F07DE"/>
    <w:rsid w:val="00600A21"/>
    <w:rsid w:val="006028FD"/>
    <w:rsid w:val="00610407"/>
    <w:rsid w:val="00610EEB"/>
    <w:rsid w:val="00613F5D"/>
    <w:rsid w:val="00614424"/>
    <w:rsid w:val="00614C7A"/>
    <w:rsid w:val="006178C8"/>
    <w:rsid w:val="00620D93"/>
    <w:rsid w:val="00620E82"/>
    <w:rsid w:val="00621625"/>
    <w:rsid w:val="00623DC3"/>
    <w:rsid w:val="00623EA3"/>
    <w:rsid w:val="006245C7"/>
    <w:rsid w:val="00626724"/>
    <w:rsid w:val="006273D7"/>
    <w:rsid w:val="00627894"/>
    <w:rsid w:val="00631449"/>
    <w:rsid w:val="0063209A"/>
    <w:rsid w:val="006361C1"/>
    <w:rsid w:val="00636648"/>
    <w:rsid w:val="006425ED"/>
    <w:rsid w:val="006456D9"/>
    <w:rsid w:val="00653649"/>
    <w:rsid w:val="00661649"/>
    <w:rsid w:val="00661768"/>
    <w:rsid w:val="0066229A"/>
    <w:rsid w:val="00662367"/>
    <w:rsid w:val="00665949"/>
    <w:rsid w:val="00672F7F"/>
    <w:rsid w:val="00675D77"/>
    <w:rsid w:val="0068093D"/>
    <w:rsid w:val="00681433"/>
    <w:rsid w:val="00681668"/>
    <w:rsid w:val="00684706"/>
    <w:rsid w:val="00687FCF"/>
    <w:rsid w:val="006900EB"/>
    <w:rsid w:val="00690430"/>
    <w:rsid w:val="006922F0"/>
    <w:rsid w:val="00693A6A"/>
    <w:rsid w:val="006947E6"/>
    <w:rsid w:val="00695FC5"/>
    <w:rsid w:val="00696785"/>
    <w:rsid w:val="006968BD"/>
    <w:rsid w:val="006A40A6"/>
    <w:rsid w:val="006A51AF"/>
    <w:rsid w:val="006B2023"/>
    <w:rsid w:val="006B2DF0"/>
    <w:rsid w:val="006B5C5B"/>
    <w:rsid w:val="006B5F66"/>
    <w:rsid w:val="006B6E07"/>
    <w:rsid w:val="006C0A35"/>
    <w:rsid w:val="006C1B32"/>
    <w:rsid w:val="006C2C9A"/>
    <w:rsid w:val="006C740A"/>
    <w:rsid w:val="006C7ACC"/>
    <w:rsid w:val="006D05C5"/>
    <w:rsid w:val="006D181E"/>
    <w:rsid w:val="006D2CF4"/>
    <w:rsid w:val="006D3219"/>
    <w:rsid w:val="006D4BF5"/>
    <w:rsid w:val="006E1412"/>
    <w:rsid w:val="006F7204"/>
    <w:rsid w:val="00700DC8"/>
    <w:rsid w:val="0070566B"/>
    <w:rsid w:val="0071034B"/>
    <w:rsid w:val="007119B6"/>
    <w:rsid w:val="007126CC"/>
    <w:rsid w:val="0071300B"/>
    <w:rsid w:val="00713654"/>
    <w:rsid w:val="007146E7"/>
    <w:rsid w:val="00714B31"/>
    <w:rsid w:val="00714C39"/>
    <w:rsid w:val="00715583"/>
    <w:rsid w:val="007163DC"/>
    <w:rsid w:val="00716ABF"/>
    <w:rsid w:val="007179E4"/>
    <w:rsid w:val="00720B46"/>
    <w:rsid w:val="00724962"/>
    <w:rsid w:val="00730140"/>
    <w:rsid w:val="007303E5"/>
    <w:rsid w:val="00730B7D"/>
    <w:rsid w:val="007328D8"/>
    <w:rsid w:val="00740DDF"/>
    <w:rsid w:val="007414E8"/>
    <w:rsid w:val="00743D7C"/>
    <w:rsid w:val="00744F90"/>
    <w:rsid w:val="0075060C"/>
    <w:rsid w:val="00751D9A"/>
    <w:rsid w:val="00753929"/>
    <w:rsid w:val="00756351"/>
    <w:rsid w:val="00760153"/>
    <w:rsid w:val="00760D9D"/>
    <w:rsid w:val="00763D16"/>
    <w:rsid w:val="00771265"/>
    <w:rsid w:val="00773A7C"/>
    <w:rsid w:val="00774273"/>
    <w:rsid w:val="00775E30"/>
    <w:rsid w:val="007816DB"/>
    <w:rsid w:val="00785507"/>
    <w:rsid w:val="007900A8"/>
    <w:rsid w:val="00791388"/>
    <w:rsid w:val="00791D40"/>
    <w:rsid w:val="007927A7"/>
    <w:rsid w:val="0079384A"/>
    <w:rsid w:val="007A2B7F"/>
    <w:rsid w:val="007A5892"/>
    <w:rsid w:val="007B051F"/>
    <w:rsid w:val="007B185E"/>
    <w:rsid w:val="007B3988"/>
    <w:rsid w:val="007B3C53"/>
    <w:rsid w:val="007B50F2"/>
    <w:rsid w:val="007B539E"/>
    <w:rsid w:val="007B6232"/>
    <w:rsid w:val="007B7931"/>
    <w:rsid w:val="007B7CE1"/>
    <w:rsid w:val="007C09A9"/>
    <w:rsid w:val="007C2FB8"/>
    <w:rsid w:val="007C3123"/>
    <w:rsid w:val="007C3FD3"/>
    <w:rsid w:val="007C648F"/>
    <w:rsid w:val="007C6EC6"/>
    <w:rsid w:val="007D0E38"/>
    <w:rsid w:val="007D22EF"/>
    <w:rsid w:val="007D32DB"/>
    <w:rsid w:val="007D3CDA"/>
    <w:rsid w:val="007D5910"/>
    <w:rsid w:val="007D6B4F"/>
    <w:rsid w:val="007E2774"/>
    <w:rsid w:val="007E28B8"/>
    <w:rsid w:val="007E3A44"/>
    <w:rsid w:val="007E546E"/>
    <w:rsid w:val="007E6183"/>
    <w:rsid w:val="007E7492"/>
    <w:rsid w:val="007F3CD2"/>
    <w:rsid w:val="007F45E5"/>
    <w:rsid w:val="00800B47"/>
    <w:rsid w:val="00802B4E"/>
    <w:rsid w:val="00807CC2"/>
    <w:rsid w:val="00810EA5"/>
    <w:rsid w:val="00813380"/>
    <w:rsid w:val="00814654"/>
    <w:rsid w:val="00815220"/>
    <w:rsid w:val="008153E2"/>
    <w:rsid w:val="0081665E"/>
    <w:rsid w:val="00821245"/>
    <w:rsid w:val="008263FB"/>
    <w:rsid w:val="008272B3"/>
    <w:rsid w:val="008278A0"/>
    <w:rsid w:val="0082798E"/>
    <w:rsid w:val="008310A7"/>
    <w:rsid w:val="00832972"/>
    <w:rsid w:val="00832A1A"/>
    <w:rsid w:val="00841B70"/>
    <w:rsid w:val="00841DD7"/>
    <w:rsid w:val="00843322"/>
    <w:rsid w:val="00845572"/>
    <w:rsid w:val="008478B3"/>
    <w:rsid w:val="008506DA"/>
    <w:rsid w:val="00850DEA"/>
    <w:rsid w:val="0085598E"/>
    <w:rsid w:val="00857136"/>
    <w:rsid w:val="00860CD7"/>
    <w:rsid w:val="00863226"/>
    <w:rsid w:val="00864742"/>
    <w:rsid w:val="00866DE4"/>
    <w:rsid w:val="00867A66"/>
    <w:rsid w:val="008724FA"/>
    <w:rsid w:val="008773C5"/>
    <w:rsid w:val="00882FC7"/>
    <w:rsid w:val="00883845"/>
    <w:rsid w:val="00884E08"/>
    <w:rsid w:val="00886E37"/>
    <w:rsid w:val="0089137D"/>
    <w:rsid w:val="00891D6F"/>
    <w:rsid w:val="00894926"/>
    <w:rsid w:val="0089517B"/>
    <w:rsid w:val="008A74D2"/>
    <w:rsid w:val="008B64C9"/>
    <w:rsid w:val="008B64D8"/>
    <w:rsid w:val="008D126D"/>
    <w:rsid w:val="008D1B5B"/>
    <w:rsid w:val="008D1D34"/>
    <w:rsid w:val="008D2A36"/>
    <w:rsid w:val="008D2F06"/>
    <w:rsid w:val="008D33AE"/>
    <w:rsid w:val="008D3BE7"/>
    <w:rsid w:val="008D4476"/>
    <w:rsid w:val="008D4E2B"/>
    <w:rsid w:val="008E017C"/>
    <w:rsid w:val="008E0B5D"/>
    <w:rsid w:val="008E1A08"/>
    <w:rsid w:val="008E455A"/>
    <w:rsid w:val="008E4C26"/>
    <w:rsid w:val="008E4D55"/>
    <w:rsid w:val="008E5221"/>
    <w:rsid w:val="008F0069"/>
    <w:rsid w:val="008F06F4"/>
    <w:rsid w:val="008F57BC"/>
    <w:rsid w:val="008F6643"/>
    <w:rsid w:val="009006F1"/>
    <w:rsid w:val="009019BE"/>
    <w:rsid w:val="00904B0D"/>
    <w:rsid w:val="00911807"/>
    <w:rsid w:val="009118E4"/>
    <w:rsid w:val="00911A93"/>
    <w:rsid w:val="00912573"/>
    <w:rsid w:val="00915239"/>
    <w:rsid w:val="00915E71"/>
    <w:rsid w:val="00916E33"/>
    <w:rsid w:val="00917412"/>
    <w:rsid w:val="00917496"/>
    <w:rsid w:val="00921080"/>
    <w:rsid w:val="00921894"/>
    <w:rsid w:val="00924685"/>
    <w:rsid w:val="0092538D"/>
    <w:rsid w:val="00925772"/>
    <w:rsid w:val="00926EFE"/>
    <w:rsid w:val="00943B21"/>
    <w:rsid w:val="00954E02"/>
    <w:rsid w:val="00955910"/>
    <w:rsid w:val="00956DC4"/>
    <w:rsid w:val="00957287"/>
    <w:rsid w:val="00961986"/>
    <w:rsid w:val="00964209"/>
    <w:rsid w:val="00964EE6"/>
    <w:rsid w:val="00965339"/>
    <w:rsid w:val="00970358"/>
    <w:rsid w:val="00971041"/>
    <w:rsid w:val="0097115C"/>
    <w:rsid w:val="00971BA2"/>
    <w:rsid w:val="00972559"/>
    <w:rsid w:val="00973441"/>
    <w:rsid w:val="00973CA6"/>
    <w:rsid w:val="009751E9"/>
    <w:rsid w:val="00975E73"/>
    <w:rsid w:val="00975F05"/>
    <w:rsid w:val="009833A0"/>
    <w:rsid w:val="00983E4E"/>
    <w:rsid w:val="00984864"/>
    <w:rsid w:val="00986D08"/>
    <w:rsid w:val="00987F13"/>
    <w:rsid w:val="009913B6"/>
    <w:rsid w:val="009930F7"/>
    <w:rsid w:val="00994D38"/>
    <w:rsid w:val="009954EA"/>
    <w:rsid w:val="00996FE1"/>
    <w:rsid w:val="00997F23"/>
    <w:rsid w:val="009A2B48"/>
    <w:rsid w:val="009A3160"/>
    <w:rsid w:val="009A3DA3"/>
    <w:rsid w:val="009A658E"/>
    <w:rsid w:val="009B090F"/>
    <w:rsid w:val="009B1430"/>
    <w:rsid w:val="009B14F6"/>
    <w:rsid w:val="009B3373"/>
    <w:rsid w:val="009B33ED"/>
    <w:rsid w:val="009B3682"/>
    <w:rsid w:val="009B3AF5"/>
    <w:rsid w:val="009B5D02"/>
    <w:rsid w:val="009B7BE5"/>
    <w:rsid w:val="009C5F3D"/>
    <w:rsid w:val="009C64F4"/>
    <w:rsid w:val="009D0EA5"/>
    <w:rsid w:val="009D3A84"/>
    <w:rsid w:val="009D4426"/>
    <w:rsid w:val="009D4CAF"/>
    <w:rsid w:val="009D7F65"/>
    <w:rsid w:val="009E0D77"/>
    <w:rsid w:val="009E1D05"/>
    <w:rsid w:val="009E4268"/>
    <w:rsid w:val="009E5FC0"/>
    <w:rsid w:val="009F07D4"/>
    <w:rsid w:val="009F34C7"/>
    <w:rsid w:val="009F3522"/>
    <w:rsid w:val="009F5816"/>
    <w:rsid w:val="00A01458"/>
    <w:rsid w:val="00A01FB1"/>
    <w:rsid w:val="00A023F5"/>
    <w:rsid w:val="00A02517"/>
    <w:rsid w:val="00A044DE"/>
    <w:rsid w:val="00A047AA"/>
    <w:rsid w:val="00A05CF5"/>
    <w:rsid w:val="00A074BE"/>
    <w:rsid w:val="00A105D2"/>
    <w:rsid w:val="00A10FD1"/>
    <w:rsid w:val="00A125A9"/>
    <w:rsid w:val="00A126AD"/>
    <w:rsid w:val="00A14574"/>
    <w:rsid w:val="00A165DB"/>
    <w:rsid w:val="00A176FB"/>
    <w:rsid w:val="00A21265"/>
    <w:rsid w:val="00A2537A"/>
    <w:rsid w:val="00A25B81"/>
    <w:rsid w:val="00A261B2"/>
    <w:rsid w:val="00A277D3"/>
    <w:rsid w:val="00A31139"/>
    <w:rsid w:val="00A31611"/>
    <w:rsid w:val="00A34BD2"/>
    <w:rsid w:val="00A35F0C"/>
    <w:rsid w:val="00A42A05"/>
    <w:rsid w:val="00A430EF"/>
    <w:rsid w:val="00A45D58"/>
    <w:rsid w:val="00A46515"/>
    <w:rsid w:val="00A46C7F"/>
    <w:rsid w:val="00A47EA1"/>
    <w:rsid w:val="00A52550"/>
    <w:rsid w:val="00A55C8B"/>
    <w:rsid w:val="00A568CD"/>
    <w:rsid w:val="00A61835"/>
    <w:rsid w:val="00A64C3E"/>
    <w:rsid w:val="00A64D4A"/>
    <w:rsid w:val="00A724B7"/>
    <w:rsid w:val="00A7279C"/>
    <w:rsid w:val="00A72B24"/>
    <w:rsid w:val="00A7338C"/>
    <w:rsid w:val="00A75AC9"/>
    <w:rsid w:val="00A765C1"/>
    <w:rsid w:val="00A811F0"/>
    <w:rsid w:val="00A843A1"/>
    <w:rsid w:val="00A84572"/>
    <w:rsid w:val="00A85D28"/>
    <w:rsid w:val="00A87D65"/>
    <w:rsid w:val="00A913FE"/>
    <w:rsid w:val="00AA1516"/>
    <w:rsid w:val="00AA15DC"/>
    <w:rsid w:val="00AA483F"/>
    <w:rsid w:val="00AA727A"/>
    <w:rsid w:val="00AB170D"/>
    <w:rsid w:val="00AB2EB1"/>
    <w:rsid w:val="00AB3237"/>
    <w:rsid w:val="00AB56AB"/>
    <w:rsid w:val="00AB5894"/>
    <w:rsid w:val="00AB6219"/>
    <w:rsid w:val="00AB7023"/>
    <w:rsid w:val="00AC0BFB"/>
    <w:rsid w:val="00AD133D"/>
    <w:rsid w:val="00AD2E15"/>
    <w:rsid w:val="00AD7708"/>
    <w:rsid w:val="00AE0116"/>
    <w:rsid w:val="00AE0929"/>
    <w:rsid w:val="00AE29C1"/>
    <w:rsid w:val="00AE4647"/>
    <w:rsid w:val="00AF2876"/>
    <w:rsid w:val="00AF2E4A"/>
    <w:rsid w:val="00AF609B"/>
    <w:rsid w:val="00AF67CE"/>
    <w:rsid w:val="00B00D17"/>
    <w:rsid w:val="00B00D1D"/>
    <w:rsid w:val="00B0138A"/>
    <w:rsid w:val="00B01593"/>
    <w:rsid w:val="00B01C90"/>
    <w:rsid w:val="00B03E3F"/>
    <w:rsid w:val="00B046AD"/>
    <w:rsid w:val="00B055CC"/>
    <w:rsid w:val="00B06530"/>
    <w:rsid w:val="00B13297"/>
    <w:rsid w:val="00B168B5"/>
    <w:rsid w:val="00B225E9"/>
    <w:rsid w:val="00B236F4"/>
    <w:rsid w:val="00B302AF"/>
    <w:rsid w:val="00B33CB7"/>
    <w:rsid w:val="00B35091"/>
    <w:rsid w:val="00B374D4"/>
    <w:rsid w:val="00B40B9F"/>
    <w:rsid w:val="00B4147A"/>
    <w:rsid w:val="00B43D19"/>
    <w:rsid w:val="00B4670B"/>
    <w:rsid w:val="00B47CF4"/>
    <w:rsid w:val="00B539CC"/>
    <w:rsid w:val="00B53FBF"/>
    <w:rsid w:val="00B54081"/>
    <w:rsid w:val="00B54657"/>
    <w:rsid w:val="00B62AF9"/>
    <w:rsid w:val="00B65C29"/>
    <w:rsid w:val="00B71F84"/>
    <w:rsid w:val="00B74FA1"/>
    <w:rsid w:val="00B75ACC"/>
    <w:rsid w:val="00B80C5C"/>
    <w:rsid w:val="00B82043"/>
    <w:rsid w:val="00B82B58"/>
    <w:rsid w:val="00B82D64"/>
    <w:rsid w:val="00B852D9"/>
    <w:rsid w:val="00B92A8A"/>
    <w:rsid w:val="00B93EC7"/>
    <w:rsid w:val="00B95B04"/>
    <w:rsid w:val="00BA1512"/>
    <w:rsid w:val="00BA2FC1"/>
    <w:rsid w:val="00BA300C"/>
    <w:rsid w:val="00BA5500"/>
    <w:rsid w:val="00BA691B"/>
    <w:rsid w:val="00BA6D32"/>
    <w:rsid w:val="00BA6D6C"/>
    <w:rsid w:val="00BB3A45"/>
    <w:rsid w:val="00BB75E3"/>
    <w:rsid w:val="00BC0526"/>
    <w:rsid w:val="00BC1EF6"/>
    <w:rsid w:val="00BC3798"/>
    <w:rsid w:val="00BC793E"/>
    <w:rsid w:val="00BD2512"/>
    <w:rsid w:val="00BD29D8"/>
    <w:rsid w:val="00BD616B"/>
    <w:rsid w:val="00BE0134"/>
    <w:rsid w:val="00BE1C53"/>
    <w:rsid w:val="00BE1FE8"/>
    <w:rsid w:val="00BE2E2F"/>
    <w:rsid w:val="00BE3387"/>
    <w:rsid w:val="00BE47FB"/>
    <w:rsid w:val="00BF3424"/>
    <w:rsid w:val="00BF50FB"/>
    <w:rsid w:val="00BF6F39"/>
    <w:rsid w:val="00C125FB"/>
    <w:rsid w:val="00C12734"/>
    <w:rsid w:val="00C12BB2"/>
    <w:rsid w:val="00C136C3"/>
    <w:rsid w:val="00C15A5D"/>
    <w:rsid w:val="00C23D71"/>
    <w:rsid w:val="00C31D66"/>
    <w:rsid w:val="00C32D5C"/>
    <w:rsid w:val="00C34F67"/>
    <w:rsid w:val="00C35B82"/>
    <w:rsid w:val="00C36477"/>
    <w:rsid w:val="00C405B6"/>
    <w:rsid w:val="00C421D3"/>
    <w:rsid w:val="00C46418"/>
    <w:rsid w:val="00C46777"/>
    <w:rsid w:val="00C472D5"/>
    <w:rsid w:val="00C52152"/>
    <w:rsid w:val="00C56D55"/>
    <w:rsid w:val="00C57478"/>
    <w:rsid w:val="00C61C90"/>
    <w:rsid w:val="00C6292C"/>
    <w:rsid w:val="00C6755B"/>
    <w:rsid w:val="00C67972"/>
    <w:rsid w:val="00C734DB"/>
    <w:rsid w:val="00C752D7"/>
    <w:rsid w:val="00C8016A"/>
    <w:rsid w:val="00C80F08"/>
    <w:rsid w:val="00C814D7"/>
    <w:rsid w:val="00C85189"/>
    <w:rsid w:val="00C93165"/>
    <w:rsid w:val="00C97696"/>
    <w:rsid w:val="00C97C72"/>
    <w:rsid w:val="00CA1198"/>
    <w:rsid w:val="00CA17F9"/>
    <w:rsid w:val="00CA5DE6"/>
    <w:rsid w:val="00CA6B4C"/>
    <w:rsid w:val="00CA7E20"/>
    <w:rsid w:val="00CB03FA"/>
    <w:rsid w:val="00CB052E"/>
    <w:rsid w:val="00CB3916"/>
    <w:rsid w:val="00CB77F0"/>
    <w:rsid w:val="00CC28DD"/>
    <w:rsid w:val="00CC407A"/>
    <w:rsid w:val="00CC49C0"/>
    <w:rsid w:val="00CE000A"/>
    <w:rsid w:val="00CE10CC"/>
    <w:rsid w:val="00CE5242"/>
    <w:rsid w:val="00CE6341"/>
    <w:rsid w:val="00CE744E"/>
    <w:rsid w:val="00CF0AA4"/>
    <w:rsid w:val="00CF448B"/>
    <w:rsid w:val="00CF4796"/>
    <w:rsid w:val="00CF572F"/>
    <w:rsid w:val="00CF5BD8"/>
    <w:rsid w:val="00CF61BB"/>
    <w:rsid w:val="00CF7A32"/>
    <w:rsid w:val="00CF7DAA"/>
    <w:rsid w:val="00D02C5B"/>
    <w:rsid w:val="00D02FFF"/>
    <w:rsid w:val="00D03F4C"/>
    <w:rsid w:val="00D04A3A"/>
    <w:rsid w:val="00D07E85"/>
    <w:rsid w:val="00D10FF2"/>
    <w:rsid w:val="00D14CAE"/>
    <w:rsid w:val="00D17C13"/>
    <w:rsid w:val="00D23854"/>
    <w:rsid w:val="00D2406D"/>
    <w:rsid w:val="00D254E0"/>
    <w:rsid w:val="00D25FC3"/>
    <w:rsid w:val="00D2738C"/>
    <w:rsid w:val="00D27F3A"/>
    <w:rsid w:val="00D31C4B"/>
    <w:rsid w:val="00D35E70"/>
    <w:rsid w:val="00D36F39"/>
    <w:rsid w:val="00D37E02"/>
    <w:rsid w:val="00D401A7"/>
    <w:rsid w:val="00D41CBC"/>
    <w:rsid w:val="00D446F5"/>
    <w:rsid w:val="00D458FF"/>
    <w:rsid w:val="00D47E41"/>
    <w:rsid w:val="00D5267D"/>
    <w:rsid w:val="00D54518"/>
    <w:rsid w:val="00D565DE"/>
    <w:rsid w:val="00D61CEA"/>
    <w:rsid w:val="00D62E1F"/>
    <w:rsid w:val="00D631EB"/>
    <w:rsid w:val="00D660DA"/>
    <w:rsid w:val="00D66504"/>
    <w:rsid w:val="00D6765F"/>
    <w:rsid w:val="00D7283E"/>
    <w:rsid w:val="00D7645E"/>
    <w:rsid w:val="00D76F9F"/>
    <w:rsid w:val="00D81E3D"/>
    <w:rsid w:val="00D85185"/>
    <w:rsid w:val="00D87ACA"/>
    <w:rsid w:val="00D9026D"/>
    <w:rsid w:val="00D90B27"/>
    <w:rsid w:val="00D912CE"/>
    <w:rsid w:val="00D93829"/>
    <w:rsid w:val="00D93DEB"/>
    <w:rsid w:val="00D94FEE"/>
    <w:rsid w:val="00D95A42"/>
    <w:rsid w:val="00D96B7F"/>
    <w:rsid w:val="00DA1693"/>
    <w:rsid w:val="00DA1F94"/>
    <w:rsid w:val="00DA74A7"/>
    <w:rsid w:val="00DB2661"/>
    <w:rsid w:val="00DB2BEA"/>
    <w:rsid w:val="00DB3057"/>
    <w:rsid w:val="00DB601F"/>
    <w:rsid w:val="00DB7326"/>
    <w:rsid w:val="00DC0A60"/>
    <w:rsid w:val="00DC3956"/>
    <w:rsid w:val="00DC6DD1"/>
    <w:rsid w:val="00DD01F2"/>
    <w:rsid w:val="00DD1047"/>
    <w:rsid w:val="00DD1B9F"/>
    <w:rsid w:val="00DD5D95"/>
    <w:rsid w:val="00DD7BAC"/>
    <w:rsid w:val="00DE04A9"/>
    <w:rsid w:val="00DE2EE1"/>
    <w:rsid w:val="00DE35CC"/>
    <w:rsid w:val="00DE5A22"/>
    <w:rsid w:val="00DE7C21"/>
    <w:rsid w:val="00DF0A95"/>
    <w:rsid w:val="00DF1E20"/>
    <w:rsid w:val="00DF54A2"/>
    <w:rsid w:val="00DF55EC"/>
    <w:rsid w:val="00DF6F78"/>
    <w:rsid w:val="00E0136B"/>
    <w:rsid w:val="00E0164F"/>
    <w:rsid w:val="00E0306D"/>
    <w:rsid w:val="00E03F93"/>
    <w:rsid w:val="00E101E4"/>
    <w:rsid w:val="00E12507"/>
    <w:rsid w:val="00E12997"/>
    <w:rsid w:val="00E12D87"/>
    <w:rsid w:val="00E14463"/>
    <w:rsid w:val="00E15507"/>
    <w:rsid w:val="00E17EBC"/>
    <w:rsid w:val="00E21182"/>
    <w:rsid w:val="00E2679C"/>
    <w:rsid w:val="00E326B7"/>
    <w:rsid w:val="00E33E48"/>
    <w:rsid w:val="00E35719"/>
    <w:rsid w:val="00E37F1A"/>
    <w:rsid w:val="00E40631"/>
    <w:rsid w:val="00E4267F"/>
    <w:rsid w:val="00E42B7A"/>
    <w:rsid w:val="00E45126"/>
    <w:rsid w:val="00E45477"/>
    <w:rsid w:val="00E5359C"/>
    <w:rsid w:val="00E56D21"/>
    <w:rsid w:val="00E57DE3"/>
    <w:rsid w:val="00E61F1C"/>
    <w:rsid w:val="00E6353E"/>
    <w:rsid w:val="00E63948"/>
    <w:rsid w:val="00E63EDA"/>
    <w:rsid w:val="00E6573A"/>
    <w:rsid w:val="00E665AB"/>
    <w:rsid w:val="00E7001C"/>
    <w:rsid w:val="00E7061C"/>
    <w:rsid w:val="00E70728"/>
    <w:rsid w:val="00E71B28"/>
    <w:rsid w:val="00E7210E"/>
    <w:rsid w:val="00E730BB"/>
    <w:rsid w:val="00E74B5A"/>
    <w:rsid w:val="00E7690C"/>
    <w:rsid w:val="00E82A79"/>
    <w:rsid w:val="00E83402"/>
    <w:rsid w:val="00E83AC5"/>
    <w:rsid w:val="00E83EF7"/>
    <w:rsid w:val="00E85715"/>
    <w:rsid w:val="00E907EA"/>
    <w:rsid w:val="00E92261"/>
    <w:rsid w:val="00E923D0"/>
    <w:rsid w:val="00E94CC7"/>
    <w:rsid w:val="00EA01D1"/>
    <w:rsid w:val="00EA2307"/>
    <w:rsid w:val="00EA2D67"/>
    <w:rsid w:val="00EA2D92"/>
    <w:rsid w:val="00EA3061"/>
    <w:rsid w:val="00EA55C2"/>
    <w:rsid w:val="00EA7FC0"/>
    <w:rsid w:val="00EB05A6"/>
    <w:rsid w:val="00EB27E6"/>
    <w:rsid w:val="00EC1587"/>
    <w:rsid w:val="00EC2303"/>
    <w:rsid w:val="00EC3CD8"/>
    <w:rsid w:val="00ED0050"/>
    <w:rsid w:val="00ED347D"/>
    <w:rsid w:val="00ED3C06"/>
    <w:rsid w:val="00ED6418"/>
    <w:rsid w:val="00ED76E8"/>
    <w:rsid w:val="00EE2635"/>
    <w:rsid w:val="00EE3F90"/>
    <w:rsid w:val="00EE4CDA"/>
    <w:rsid w:val="00EE4ED0"/>
    <w:rsid w:val="00EE67D5"/>
    <w:rsid w:val="00F0000D"/>
    <w:rsid w:val="00F01441"/>
    <w:rsid w:val="00F01CDC"/>
    <w:rsid w:val="00F01EED"/>
    <w:rsid w:val="00F02BD6"/>
    <w:rsid w:val="00F05C35"/>
    <w:rsid w:val="00F0648A"/>
    <w:rsid w:val="00F0726E"/>
    <w:rsid w:val="00F07A23"/>
    <w:rsid w:val="00F14114"/>
    <w:rsid w:val="00F14A6D"/>
    <w:rsid w:val="00F23F08"/>
    <w:rsid w:val="00F26CCA"/>
    <w:rsid w:val="00F26FF4"/>
    <w:rsid w:val="00F31764"/>
    <w:rsid w:val="00F31A19"/>
    <w:rsid w:val="00F35D1D"/>
    <w:rsid w:val="00F35E7D"/>
    <w:rsid w:val="00F35E9B"/>
    <w:rsid w:val="00F452A3"/>
    <w:rsid w:val="00F46B92"/>
    <w:rsid w:val="00F5362C"/>
    <w:rsid w:val="00F55C68"/>
    <w:rsid w:val="00F60B90"/>
    <w:rsid w:val="00F631EB"/>
    <w:rsid w:val="00F675E7"/>
    <w:rsid w:val="00F70520"/>
    <w:rsid w:val="00F709E7"/>
    <w:rsid w:val="00F72B34"/>
    <w:rsid w:val="00F73891"/>
    <w:rsid w:val="00F76A18"/>
    <w:rsid w:val="00F80CD1"/>
    <w:rsid w:val="00F83B33"/>
    <w:rsid w:val="00F847FB"/>
    <w:rsid w:val="00F85003"/>
    <w:rsid w:val="00F86287"/>
    <w:rsid w:val="00F9241A"/>
    <w:rsid w:val="00F9394A"/>
    <w:rsid w:val="00F93CAC"/>
    <w:rsid w:val="00F97AD5"/>
    <w:rsid w:val="00FA4AFA"/>
    <w:rsid w:val="00FA58DA"/>
    <w:rsid w:val="00FA5DBD"/>
    <w:rsid w:val="00FA6F03"/>
    <w:rsid w:val="00FA7520"/>
    <w:rsid w:val="00FB37F5"/>
    <w:rsid w:val="00FB6FEB"/>
    <w:rsid w:val="00FC17E6"/>
    <w:rsid w:val="00FC7BF1"/>
    <w:rsid w:val="00FD1DA0"/>
    <w:rsid w:val="00FD5BE5"/>
    <w:rsid w:val="00FD7F30"/>
    <w:rsid w:val="00FE10A0"/>
    <w:rsid w:val="00FE1A6A"/>
    <w:rsid w:val="00FE5A66"/>
    <w:rsid w:val="00FE5D1E"/>
    <w:rsid w:val="00FE6661"/>
    <w:rsid w:val="00FE720D"/>
    <w:rsid w:val="00FF1C7D"/>
    <w:rsid w:val="00FF3A68"/>
    <w:rsid w:val="00FF41E1"/>
    <w:rsid w:val="00FF4384"/>
    <w:rsid w:val="00FF4C03"/>
    <w:rsid w:val="00FF59CF"/>
    <w:rsid w:val="00FF5FEC"/>
    <w:rsid w:val="00FF72F1"/>
    <w:rsid w:val="24867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kern w:val="0"/>
      <w:sz w:val="22"/>
      <w:szCs w:val="22"/>
      <w:lang w:val="en-US" w:eastAsia="en-US" w:bidi="ar-SA"/>
    </w:rPr>
  </w:style>
  <w:style w:type="paragraph" w:styleId="2">
    <w:name w:val="heading 1"/>
    <w:basedOn w:val="1"/>
    <w:next w:val="1"/>
    <w:link w:val="14"/>
    <w:qFormat/>
    <w:uiPriority w:val="1"/>
    <w:pPr>
      <w:outlineLvl w:val="0"/>
    </w:pPr>
    <w:rPr>
      <w:rFonts w:ascii="宋体" w:hAnsi="宋体" w:eastAsia="宋体"/>
      <w:sz w:val="33"/>
      <w:szCs w:val="33"/>
    </w:rPr>
  </w:style>
  <w:style w:type="paragraph" w:styleId="3">
    <w:name w:val="heading 2"/>
    <w:basedOn w:val="1"/>
    <w:next w:val="1"/>
    <w:link w:val="1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toc 3"/>
    <w:basedOn w:val="1"/>
    <w:next w:val="1"/>
    <w:unhideWhenUsed/>
    <w:uiPriority w:val="39"/>
    <w:pPr>
      <w:ind w:left="840" w:leftChars="400"/>
    </w:pPr>
  </w:style>
  <w:style w:type="paragraph" w:styleId="5">
    <w:name w:val="Balloon Text"/>
    <w:basedOn w:val="1"/>
    <w:link w:val="17"/>
    <w:semiHidden/>
    <w:unhideWhenUsed/>
    <w:uiPriority w:val="99"/>
    <w:rPr>
      <w:sz w:val="18"/>
      <w:szCs w:val="18"/>
    </w:rPr>
  </w:style>
  <w:style w:type="paragraph" w:styleId="6">
    <w:name w:val="footer"/>
    <w:basedOn w:val="1"/>
    <w:link w:val="16"/>
    <w:unhideWhenUsed/>
    <w:uiPriority w:val="99"/>
    <w:pPr>
      <w:tabs>
        <w:tab w:val="center" w:pos="4153"/>
        <w:tab w:val="right" w:pos="8306"/>
      </w:tabs>
      <w:snapToGrid w:val="0"/>
    </w:pPr>
    <w:rPr>
      <w:sz w:val="18"/>
      <w:szCs w:val="18"/>
    </w:rPr>
  </w:style>
  <w:style w:type="paragraph" w:styleId="7">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uiPriority w:val="39"/>
  </w:style>
  <w:style w:type="paragraph" w:styleId="9">
    <w:name w:val="toc 2"/>
    <w:basedOn w:val="1"/>
    <w:next w:val="1"/>
    <w:unhideWhenUsed/>
    <w:uiPriority w:val="39"/>
    <w:pPr>
      <w:ind w:left="420" w:leftChars="200"/>
    </w:pPr>
  </w:style>
  <w:style w:type="table" w:styleId="11">
    <w:name w:val="Table Grid"/>
    <w:basedOn w:val="10"/>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unhideWhenUsed/>
    <w:uiPriority w:val="99"/>
    <w:rPr>
      <w:color w:val="0000FF" w:themeColor="hyperlink"/>
      <w:u w:val="single"/>
      <w14:textFill>
        <w14:solidFill>
          <w14:schemeClr w14:val="hlink"/>
        </w14:solidFill>
      </w14:textFill>
    </w:rPr>
  </w:style>
  <w:style w:type="character" w:customStyle="1" w:styleId="14">
    <w:name w:val="标题 1 Char"/>
    <w:basedOn w:val="12"/>
    <w:link w:val="2"/>
    <w:uiPriority w:val="1"/>
    <w:rPr>
      <w:rFonts w:ascii="宋体" w:hAnsi="宋体" w:eastAsia="宋体"/>
      <w:kern w:val="0"/>
      <w:sz w:val="33"/>
      <w:szCs w:val="33"/>
      <w:lang w:eastAsia="en-US"/>
    </w:rPr>
  </w:style>
  <w:style w:type="character" w:customStyle="1" w:styleId="15">
    <w:name w:val="页眉 Char"/>
    <w:basedOn w:val="12"/>
    <w:link w:val="7"/>
    <w:uiPriority w:val="99"/>
    <w:rPr>
      <w:kern w:val="0"/>
      <w:sz w:val="18"/>
      <w:szCs w:val="18"/>
      <w:lang w:eastAsia="en-US"/>
    </w:rPr>
  </w:style>
  <w:style w:type="character" w:customStyle="1" w:styleId="16">
    <w:name w:val="页脚 Char"/>
    <w:basedOn w:val="12"/>
    <w:link w:val="6"/>
    <w:uiPriority w:val="99"/>
    <w:rPr>
      <w:kern w:val="0"/>
      <w:sz w:val="18"/>
      <w:szCs w:val="18"/>
      <w:lang w:eastAsia="en-US"/>
    </w:rPr>
  </w:style>
  <w:style w:type="character" w:customStyle="1" w:styleId="17">
    <w:name w:val="批注框文本 Char"/>
    <w:basedOn w:val="12"/>
    <w:link w:val="5"/>
    <w:semiHidden/>
    <w:uiPriority w:val="99"/>
    <w:rPr>
      <w:kern w:val="0"/>
      <w:sz w:val="18"/>
      <w:szCs w:val="18"/>
      <w:lang w:eastAsia="en-US"/>
    </w:rPr>
  </w:style>
  <w:style w:type="character" w:customStyle="1" w:styleId="18">
    <w:name w:val="标题 2 Char"/>
    <w:basedOn w:val="12"/>
    <w:link w:val="3"/>
    <w:semiHidden/>
    <w:uiPriority w:val="9"/>
    <w:rPr>
      <w:rFonts w:asciiTheme="majorHAnsi" w:hAnsiTheme="majorHAnsi" w:eastAsiaTheme="majorEastAsia" w:cstheme="majorBidi"/>
      <w:b/>
      <w:bCs/>
      <w:kern w:val="0"/>
      <w:sz w:val="32"/>
      <w:szCs w:val="32"/>
      <w:lang w:eastAsia="en-US"/>
    </w:rPr>
  </w:style>
  <w:style w:type="paragraph" w:customStyle="1" w:styleId="19">
    <w:name w:val="TOC Heading"/>
    <w:basedOn w:val="2"/>
    <w:next w:val="1"/>
    <w:semiHidden/>
    <w:unhideWhenUsed/>
    <w:qFormat/>
    <w:uiPriority w:val="39"/>
    <w:pPr>
      <w:keepNext/>
      <w:keepLines/>
      <w:widowControl/>
      <w:spacing w:before="480" w:line="276" w:lineRule="auto"/>
      <w:outlineLvl w:val="9"/>
    </w:pPr>
    <w:rPr>
      <w:rFonts w:asciiTheme="majorHAnsi" w:hAnsiTheme="majorHAnsi" w:eastAsiaTheme="majorEastAsia" w:cstheme="majorBidi"/>
      <w:b/>
      <w:bCs/>
      <w:color w:val="376092" w:themeColor="accent1" w:themeShade="BF"/>
      <w:sz w:val="28"/>
      <w:szCs w:val="2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8BAC-161D-4118-B330-3853C3A981CC}">
  <ds:schemaRefs/>
</ds:datastoreItem>
</file>

<file path=docProps/app.xml><?xml version="1.0" encoding="utf-8"?>
<Properties xmlns="http://schemas.openxmlformats.org/officeDocument/2006/extended-properties" xmlns:vt="http://schemas.openxmlformats.org/officeDocument/2006/docPropsVTypes">
  <Template>Normal</Template>
  <Pages>32</Pages>
  <Words>10606</Words>
  <Characters>11225</Characters>
  <Lines>92</Lines>
  <Paragraphs>26</Paragraphs>
  <TotalTime>0</TotalTime>
  <ScaleCrop>false</ScaleCrop>
  <LinksUpToDate>false</LinksUpToDate>
  <CharactersWithSpaces>11297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2020-08-06T08:16:00Z</dcterms:created>
  <dc:creator>于喆</dc:creator>
  <cp:lastModifiedBy>好玩二十三</cp:lastModifiedBy>
  <cp:lastPrinted>2022-01-21T09:21:00Z</cp:lastPrinted>
  <dcterms:modified xsi:type="dcterms:W3CDTF">2022-09-28T08:49:42Z</dcterms:modified>
  <cp:revision>856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34AB73DDB85D4855BDF1DE0516E5C530</vt:lpwstr>
  </property>
</Properties>
</file>