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spacing w:line="300" w:lineRule="auto"/>
        <w:ind w:left="-110" w:leftChars="-50" w:right="-110" w:rightChars="-50"/>
        <w:jc w:val="center"/>
        <w:rPr>
          <w:rFonts w:ascii="Times New Roman" w:hAnsi="Times New Roman" w:cs="Times New Roman"/>
          <w:b/>
          <w:sz w:val="52"/>
          <w:szCs w:val="52"/>
          <w:lang w:eastAsia="zh-CN"/>
        </w:rPr>
      </w:pPr>
      <w:r>
        <w:rPr>
          <w:rFonts w:hint="eastAsia" w:ascii="Times New Roman" w:hAnsi="Times New Roman" w:cs="Times New Roman"/>
          <w:b/>
          <w:sz w:val="52"/>
          <w:szCs w:val="52"/>
          <w:lang w:eastAsia="zh-CN"/>
        </w:rPr>
        <w:t>市场监管业务</w:t>
      </w:r>
      <w:r>
        <w:rPr>
          <w:rFonts w:ascii="Times New Roman" w:hAnsi="Times New Roman" w:cs="Times New Roman"/>
          <w:b/>
          <w:sz w:val="52"/>
          <w:szCs w:val="52"/>
          <w:lang w:eastAsia="zh-CN"/>
        </w:rPr>
        <w:t>项目支出</w:t>
      </w:r>
    </w:p>
    <w:p>
      <w:pPr>
        <w:spacing w:line="300" w:lineRule="auto"/>
        <w:rPr>
          <w:rFonts w:ascii="Times New Roman" w:hAnsi="Times New Roman" w:cs="Times New Roman"/>
          <w:b/>
          <w:sz w:val="52"/>
          <w:szCs w:val="52"/>
          <w:lang w:eastAsia="zh-CN"/>
        </w:rPr>
      </w:pPr>
    </w:p>
    <w:p>
      <w:pPr>
        <w:spacing w:line="300" w:lineRule="auto"/>
        <w:jc w:val="center"/>
        <w:rPr>
          <w:rFonts w:ascii="Times New Roman" w:hAnsi="Times New Roman" w:cs="Times New Roman"/>
          <w:b/>
          <w:sz w:val="52"/>
          <w:szCs w:val="52"/>
          <w:lang w:eastAsia="zh-CN"/>
        </w:rPr>
      </w:pPr>
      <w:r>
        <w:rPr>
          <w:rFonts w:ascii="Times New Roman" w:hAnsi="Times New Roman" w:cs="Times New Roman"/>
          <w:b/>
          <w:sz w:val="52"/>
          <w:szCs w:val="52"/>
          <w:lang w:eastAsia="zh-CN"/>
        </w:rPr>
        <w:t>绩效评价报告</w:t>
      </w:r>
    </w:p>
    <w:p>
      <w:pPr>
        <w:spacing w:line="300" w:lineRule="auto"/>
        <w:jc w:val="center"/>
        <w:rPr>
          <w:rFonts w:ascii="Times New Roman" w:hAnsi="Times New Roman" w:cs="Times New Roman"/>
          <w:b/>
          <w:sz w:val="52"/>
          <w:szCs w:val="52"/>
          <w:lang w:eastAsia="zh-CN"/>
        </w:rPr>
      </w:pPr>
    </w:p>
    <w:p>
      <w:pPr>
        <w:spacing w:line="300" w:lineRule="auto"/>
        <w:jc w:val="center"/>
        <w:rPr>
          <w:rFonts w:ascii="Times New Roman" w:hAnsi="Times New Roman" w:cs="Times New Roman"/>
          <w:b/>
          <w:sz w:val="52"/>
          <w:szCs w:val="52"/>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spacing w:line="600" w:lineRule="auto"/>
        <w:jc w:val="center"/>
        <w:rPr>
          <w:rFonts w:ascii="Times New Roman" w:hAnsi="Times New Roman" w:cs="Times New Roman"/>
          <w:b/>
          <w:sz w:val="44"/>
          <w:szCs w:val="44"/>
          <w:lang w:eastAsia="zh-CN"/>
        </w:rPr>
      </w:pPr>
      <w:r>
        <w:rPr>
          <w:rFonts w:ascii="Times New Roman" w:hAnsi="Times New Roman" w:cs="Times New Roman"/>
          <w:b/>
          <w:sz w:val="44"/>
          <w:szCs w:val="44"/>
          <w:lang w:eastAsia="zh-CN"/>
        </w:rPr>
        <w:t>天津东疆保税港区财政局</w:t>
      </w:r>
    </w:p>
    <w:p>
      <w:pPr>
        <w:spacing w:line="600" w:lineRule="auto"/>
        <w:jc w:val="center"/>
        <w:rPr>
          <w:rFonts w:ascii="Times New Roman" w:hAnsi="Times New Roman" w:cs="Times New Roman"/>
          <w:b/>
          <w:sz w:val="44"/>
          <w:szCs w:val="44"/>
          <w:lang w:eastAsia="zh-CN"/>
        </w:rPr>
      </w:pPr>
      <w:r>
        <w:rPr>
          <w:rFonts w:ascii="Times New Roman" w:hAnsi="Times New Roman" w:cs="Times New Roman"/>
          <w:b/>
          <w:sz w:val="44"/>
          <w:szCs w:val="44"/>
          <w:lang w:eastAsia="zh-CN"/>
        </w:rPr>
        <w:t>天津兴业工程咨询有限公司</w:t>
      </w:r>
    </w:p>
    <w:p>
      <w:pPr>
        <w:spacing w:line="600" w:lineRule="auto"/>
        <w:jc w:val="center"/>
        <w:rPr>
          <w:rFonts w:ascii="Times New Roman" w:hAnsi="Times New Roman" w:cs="Times New Roman"/>
          <w:b/>
          <w:sz w:val="44"/>
          <w:szCs w:val="44"/>
          <w:lang w:eastAsia="zh-CN"/>
        </w:rPr>
        <w:sectPr>
          <w:footerReference r:id="rId3" w:type="default"/>
          <w:pgSz w:w="11906" w:h="16838"/>
          <w:pgMar w:top="1440" w:right="1800" w:bottom="1440" w:left="1800" w:header="851" w:footer="992" w:gutter="0"/>
          <w:cols w:space="720" w:num="1"/>
          <w:docGrid w:type="lines" w:linePitch="312" w:charSpace="0"/>
        </w:sectPr>
      </w:pPr>
      <w:r>
        <w:rPr>
          <w:rFonts w:ascii="Times New Roman" w:hAnsi="Times New Roman" w:cs="Times New Roman"/>
          <w:b/>
          <w:sz w:val="44"/>
          <w:szCs w:val="44"/>
          <w:lang w:eastAsia="zh-CN"/>
        </w:rPr>
        <w:t>202</w:t>
      </w:r>
      <w:r>
        <w:rPr>
          <w:rFonts w:hint="eastAsia" w:ascii="Times New Roman" w:hAnsi="Times New Roman" w:cs="Times New Roman"/>
          <w:b/>
          <w:sz w:val="44"/>
          <w:szCs w:val="44"/>
          <w:lang w:eastAsia="zh-CN"/>
        </w:rPr>
        <w:t>2</w:t>
      </w:r>
      <w:r>
        <w:rPr>
          <w:rFonts w:ascii="Times New Roman" w:hAnsi="Times New Roman" w:cs="Times New Roman"/>
          <w:b/>
          <w:sz w:val="44"/>
          <w:szCs w:val="44"/>
          <w:lang w:eastAsia="zh-CN"/>
        </w:rPr>
        <w:t>年</w:t>
      </w:r>
      <w:r>
        <w:rPr>
          <w:rFonts w:hint="eastAsia" w:ascii="Times New Roman" w:hAnsi="Times New Roman" w:cs="Times New Roman"/>
          <w:b/>
          <w:sz w:val="44"/>
          <w:szCs w:val="44"/>
          <w:lang w:eastAsia="zh-CN"/>
        </w:rPr>
        <w:t>6</w:t>
      </w:r>
      <w:r>
        <w:rPr>
          <w:rFonts w:ascii="Times New Roman" w:hAnsi="Times New Roman" w:cs="Times New Roman"/>
          <w:b/>
          <w:sz w:val="44"/>
          <w:szCs w:val="44"/>
          <w:lang w:eastAsia="zh-CN"/>
        </w:rPr>
        <w:t>月</w:t>
      </w: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spacing w:line="300" w:lineRule="auto"/>
        <w:ind w:left="-110" w:leftChars="-50" w:right="-110" w:rightChars="-50"/>
        <w:jc w:val="center"/>
        <w:rPr>
          <w:rFonts w:ascii="Times New Roman" w:hAnsi="Times New Roman" w:cs="Times New Roman"/>
          <w:b/>
          <w:sz w:val="52"/>
          <w:szCs w:val="52"/>
          <w:lang w:eastAsia="zh-CN"/>
        </w:rPr>
      </w:pPr>
      <w:r>
        <w:rPr>
          <w:rFonts w:hint="eastAsia" w:ascii="Times New Roman" w:hAnsi="Times New Roman" w:cs="Times New Roman"/>
          <w:b/>
          <w:sz w:val="52"/>
          <w:szCs w:val="52"/>
          <w:lang w:eastAsia="zh-CN"/>
        </w:rPr>
        <w:t>市场监管业务</w:t>
      </w:r>
      <w:r>
        <w:rPr>
          <w:rFonts w:ascii="Times New Roman" w:hAnsi="Times New Roman" w:cs="Times New Roman"/>
          <w:b/>
          <w:sz w:val="52"/>
          <w:szCs w:val="52"/>
          <w:lang w:eastAsia="zh-CN"/>
        </w:rPr>
        <w:t>项目支出</w:t>
      </w:r>
    </w:p>
    <w:p>
      <w:pPr>
        <w:spacing w:line="300" w:lineRule="auto"/>
        <w:jc w:val="center"/>
        <w:rPr>
          <w:rFonts w:ascii="Times New Roman" w:hAnsi="Times New Roman" w:cs="Times New Roman"/>
          <w:b/>
          <w:sz w:val="52"/>
          <w:szCs w:val="52"/>
          <w:lang w:eastAsia="zh-CN"/>
        </w:rPr>
      </w:pPr>
    </w:p>
    <w:p>
      <w:pPr>
        <w:spacing w:line="300" w:lineRule="auto"/>
        <w:jc w:val="center"/>
        <w:rPr>
          <w:rFonts w:ascii="Times New Roman" w:hAnsi="Times New Roman" w:cs="Times New Roman"/>
          <w:b/>
          <w:sz w:val="52"/>
          <w:szCs w:val="52"/>
          <w:lang w:eastAsia="zh-CN"/>
        </w:rPr>
      </w:pPr>
      <w:r>
        <w:rPr>
          <w:rFonts w:ascii="Times New Roman" w:hAnsi="Times New Roman" w:cs="Times New Roman"/>
          <w:b/>
          <w:sz w:val="52"/>
          <w:szCs w:val="52"/>
          <w:lang w:eastAsia="zh-CN"/>
        </w:rPr>
        <w:t>绩效评价报告</w:t>
      </w:r>
    </w:p>
    <w:p>
      <w:pPr>
        <w:spacing w:line="300" w:lineRule="auto"/>
        <w:jc w:val="center"/>
        <w:rPr>
          <w:rFonts w:ascii="Times New Roman" w:hAnsi="Times New Roman" w:cs="Times New Roman"/>
          <w:b/>
          <w:sz w:val="52"/>
          <w:szCs w:val="52"/>
          <w:lang w:eastAsia="zh-CN"/>
        </w:rPr>
      </w:pPr>
      <w:r>
        <w:rPr>
          <w:rFonts w:hint="eastAsia" w:ascii="Times New Roman" w:hAnsi="Times New Roman" w:eastAsia="楷体"/>
          <w:bCs/>
          <w:sz w:val="32"/>
          <w:szCs w:val="32"/>
          <w:lang w:eastAsia="zh-CN"/>
        </w:rPr>
        <w:t>咨询字[2022]04</w:t>
      </w:r>
      <w:r>
        <w:rPr>
          <w:rFonts w:hint="eastAsia" w:ascii="Times New Roman" w:hAnsi="Times New Roman" w:eastAsia="楷体"/>
          <w:bCs/>
          <w:sz w:val="32"/>
          <w:szCs w:val="32"/>
          <w:lang w:val="en-US" w:eastAsia="zh-CN"/>
        </w:rPr>
        <w:t>5</w:t>
      </w:r>
      <w:bookmarkStart w:id="146" w:name="_GoBack"/>
      <w:bookmarkEnd w:id="146"/>
      <w:r>
        <w:rPr>
          <w:rFonts w:hint="eastAsia" w:ascii="Times New Roman" w:hAnsi="Times New Roman" w:eastAsia="楷体"/>
          <w:bCs/>
          <w:sz w:val="32"/>
          <w:szCs w:val="32"/>
          <w:lang w:eastAsia="zh-CN"/>
        </w:rPr>
        <w:t>号</w:t>
      </w:r>
    </w:p>
    <w:p>
      <w:pPr>
        <w:spacing w:line="300" w:lineRule="auto"/>
        <w:jc w:val="center"/>
        <w:rPr>
          <w:rFonts w:ascii="Times New Roman" w:hAnsi="Times New Roman" w:cs="Times New Roman"/>
          <w:b/>
          <w:sz w:val="52"/>
          <w:szCs w:val="52"/>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spacing w:line="600" w:lineRule="auto"/>
        <w:jc w:val="center"/>
        <w:rPr>
          <w:rFonts w:ascii="Times New Roman" w:hAnsi="Times New Roman" w:cs="Times New Roman"/>
          <w:b/>
          <w:sz w:val="44"/>
          <w:szCs w:val="44"/>
          <w:lang w:eastAsia="zh-CN"/>
        </w:rPr>
      </w:pPr>
      <w:r>
        <w:rPr>
          <w:rFonts w:ascii="Times New Roman" w:hAnsi="Times New Roman" w:cs="Times New Roman"/>
          <w:b/>
          <w:sz w:val="44"/>
          <w:szCs w:val="44"/>
          <w:lang w:eastAsia="zh-CN"/>
        </w:rPr>
        <w:t>天津东疆保税港区财政局</w:t>
      </w:r>
    </w:p>
    <w:p>
      <w:pPr>
        <w:spacing w:line="600" w:lineRule="auto"/>
        <w:jc w:val="center"/>
        <w:rPr>
          <w:rFonts w:ascii="Times New Roman" w:hAnsi="Times New Roman" w:cs="Times New Roman"/>
          <w:b/>
          <w:sz w:val="44"/>
          <w:szCs w:val="44"/>
          <w:lang w:eastAsia="zh-CN"/>
        </w:rPr>
      </w:pPr>
      <w:r>
        <w:rPr>
          <w:rFonts w:ascii="Times New Roman" w:hAnsi="Times New Roman" w:cs="Times New Roman"/>
          <w:b/>
          <w:sz w:val="44"/>
          <w:szCs w:val="44"/>
          <w:lang w:eastAsia="zh-CN"/>
        </w:rPr>
        <w:t>天津兴业工程咨询有限公司</w:t>
      </w:r>
    </w:p>
    <w:p>
      <w:pPr>
        <w:spacing w:line="600" w:lineRule="auto"/>
        <w:jc w:val="center"/>
        <w:rPr>
          <w:rFonts w:ascii="Times New Roman" w:hAnsi="Times New Roman" w:cs="Times New Roman"/>
          <w:b/>
          <w:sz w:val="44"/>
          <w:szCs w:val="44"/>
          <w:lang w:eastAsia="zh-CN"/>
        </w:rPr>
      </w:pPr>
      <w:r>
        <w:rPr>
          <w:rFonts w:ascii="Times New Roman" w:hAnsi="Times New Roman" w:cs="Times New Roman"/>
          <w:b/>
          <w:sz w:val="44"/>
          <w:szCs w:val="44"/>
          <w:lang w:eastAsia="zh-CN"/>
        </w:rPr>
        <w:t>202</w:t>
      </w:r>
      <w:r>
        <w:rPr>
          <w:rFonts w:hint="eastAsia" w:ascii="Times New Roman" w:hAnsi="Times New Roman" w:cs="Times New Roman"/>
          <w:b/>
          <w:sz w:val="44"/>
          <w:szCs w:val="44"/>
          <w:lang w:eastAsia="zh-CN"/>
        </w:rPr>
        <w:t>2</w:t>
      </w:r>
      <w:r>
        <w:rPr>
          <w:rFonts w:ascii="Times New Roman" w:hAnsi="Times New Roman" w:cs="Times New Roman"/>
          <w:b/>
          <w:sz w:val="44"/>
          <w:szCs w:val="44"/>
          <w:lang w:eastAsia="zh-CN"/>
        </w:rPr>
        <w:t>年</w:t>
      </w:r>
      <w:r>
        <w:rPr>
          <w:rFonts w:hint="eastAsia" w:ascii="Times New Roman" w:hAnsi="Times New Roman" w:cs="Times New Roman"/>
          <w:b/>
          <w:sz w:val="44"/>
          <w:szCs w:val="44"/>
          <w:lang w:eastAsia="zh-CN"/>
        </w:rPr>
        <w:t>6</w:t>
      </w:r>
      <w:r>
        <w:rPr>
          <w:rFonts w:ascii="Times New Roman" w:hAnsi="Times New Roman" w:cs="Times New Roman"/>
          <w:b/>
          <w:sz w:val="44"/>
          <w:szCs w:val="44"/>
          <w:lang w:eastAsia="zh-CN"/>
        </w:rPr>
        <w:t>月</w:t>
      </w:r>
    </w:p>
    <w:p>
      <w:pPr>
        <w:spacing w:line="600" w:lineRule="auto"/>
        <w:jc w:val="center"/>
        <w:rPr>
          <w:rFonts w:ascii="Times New Roman" w:hAnsi="Times New Roman" w:cs="Times New Roman"/>
          <w:b/>
          <w:sz w:val="44"/>
          <w:szCs w:val="44"/>
          <w:lang w:eastAsia="zh-CN"/>
        </w:rPr>
      </w:pPr>
    </w:p>
    <w:p>
      <w:pPr>
        <w:spacing w:line="600" w:lineRule="auto"/>
        <w:jc w:val="center"/>
        <w:rPr>
          <w:rFonts w:ascii="Times New Roman" w:hAnsi="Times New Roman" w:cs="Times New Roman"/>
          <w:b/>
          <w:sz w:val="44"/>
          <w:szCs w:val="44"/>
          <w:lang w:eastAsia="zh-CN"/>
        </w:rPr>
        <w:sectPr>
          <w:pgSz w:w="11906" w:h="16838"/>
          <w:pgMar w:top="1440" w:right="1800" w:bottom="1440" w:left="1800" w:header="851" w:footer="992" w:gutter="0"/>
          <w:cols w:space="720" w:num="1"/>
          <w:docGrid w:type="lines" w:linePitch="312" w:charSpace="0"/>
        </w:sectPr>
      </w:pPr>
    </w:p>
    <w:sdt>
      <w:sdtPr>
        <w:rPr>
          <w:rFonts w:ascii="Times New Roman" w:hAnsi="Times New Roman" w:eastAsiaTheme="minorEastAsia" w:cstheme="minorBidi"/>
          <w:b w:val="0"/>
          <w:bCs w:val="0"/>
          <w:color w:val="auto"/>
          <w:sz w:val="22"/>
          <w:szCs w:val="22"/>
          <w:lang w:val="zh-CN" w:eastAsia="en-US"/>
        </w:rPr>
        <w:id w:val="-1636710353"/>
        <w:docPartObj>
          <w:docPartGallery w:val="Table of Contents"/>
          <w:docPartUnique/>
        </w:docPartObj>
      </w:sdtPr>
      <w:sdtEndPr>
        <w:rPr>
          <w:rFonts w:ascii="Times New Roman" w:hAnsi="Times New Roman" w:eastAsia="仿宋_GB2312" w:cs="Times New Roman"/>
          <w:b w:val="0"/>
          <w:bCs w:val="0"/>
          <w:color w:val="auto"/>
          <w:sz w:val="32"/>
          <w:szCs w:val="32"/>
          <w:lang w:val="zh-CN" w:eastAsia="en-US"/>
        </w:rPr>
      </w:sdtEndPr>
      <w:sdtContent>
        <w:p>
          <w:pPr>
            <w:pStyle w:val="19"/>
            <w:jc w:val="center"/>
            <w:rPr>
              <w:rFonts w:ascii="Times New Roman" w:hAnsi="Times New Roman" w:eastAsia="仿宋_GB2312"/>
              <w:color w:val="auto"/>
              <w:sz w:val="36"/>
              <w:szCs w:val="36"/>
              <w:lang w:val="zh-CN"/>
            </w:rPr>
          </w:pPr>
          <w:r>
            <w:rPr>
              <w:rFonts w:hint="eastAsia" w:ascii="Times New Roman" w:hAnsi="Times New Roman" w:eastAsia="仿宋_GB2312"/>
              <w:color w:val="auto"/>
              <w:sz w:val="36"/>
              <w:szCs w:val="36"/>
              <w:lang w:val="zh-CN"/>
            </w:rPr>
            <w:t>目  录</w:t>
          </w:r>
        </w:p>
        <w:p>
          <w:pPr>
            <w:rPr>
              <w:rFonts w:ascii="Times New Roman" w:hAnsi="Times New Roman"/>
              <w:lang w:val="zh-CN" w:eastAsia="zh-CN"/>
            </w:rPr>
          </w:pPr>
        </w:p>
        <w:p>
          <w:pPr>
            <w:pStyle w:val="8"/>
            <w:tabs>
              <w:tab w:val="right" w:leader="dot" w:pos="8296"/>
            </w:tabs>
            <w:rPr>
              <w:rFonts w:ascii="Times New Roman" w:hAnsi="Times New Roman" w:eastAsia="仿宋_GB2312" w:cs="Times New Roman"/>
              <w:kern w:val="2"/>
              <w:sz w:val="32"/>
              <w:szCs w:val="32"/>
              <w:lang w:eastAsia="zh-CN"/>
            </w:rPr>
          </w:pPr>
          <w:r>
            <w:rPr>
              <w:rFonts w:hint="eastAsia" w:ascii="仿宋_GB2312" w:hAnsi="Times New Roman" w:eastAsia="仿宋_GB2312" w:cs="Times New Roman"/>
              <w:sz w:val="32"/>
              <w:szCs w:val="32"/>
            </w:rPr>
            <w:fldChar w:fldCharType="begin"/>
          </w:r>
          <w:r>
            <w:rPr>
              <w:rFonts w:hint="eastAsia" w:ascii="仿宋_GB2312" w:hAnsi="Times New Roman" w:eastAsia="仿宋_GB2312" w:cs="Times New Roman"/>
              <w:sz w:val="32"/>
              <w:szCs w:val="32"/>
            </w:rPr>
            <w:instrText xml:space="preserve"> TOC \o "1-2" \h \z \u </w:instrText>
          </w:r>
          <w:r>
            <w:rPr>
              <w:rFonts w:hint="eastAsia" w:ascii="仿宋_GB2312" w:hAnsi="Times New Roman" w:eastAsia="仿宋_GB2312" w:cs="Times New Roman"/>
              <w:sz w:val="32"/>
              <w:szCs w:val="32"/>
            </w:rPr>
            <w:fldChar w:fldCharType="separate"/>
          </w:r>
          <w:r>
            <w:fldChar w:fldCharType="begin"/>
          </w:r>
          <w:r>
            <w:instrText xml:space="preserve"> HYPERLINK \l "_Toc112070421" </w:instrText>
          </w:r>
          <w:r>
            <w:fldChar w:fldCharType="separate"/>
          </w:r>
          <w:r>
            <w:rPr>
              <w:rStyle w:val="13"/>
              <w:rFonts w:ascii="Times New Roman" w:hAnsi="Times New Roman" w:eastAsia="仿宋_GB2312" w:cs="Times New Roman"/>
              <w:spacing w:val="-4"/>
              <w:w w:val="105"/>
              <w:sz w:val="32"/>
              <w:szCs w:val="32"/>
              <w:lang w:eastAsia="zh-CN"/>
            </w:rPr>
            <w:t>一、基本情况</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_Toc112070421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"_Toc112070422" </w:instrText>
          </w:r>
          <w:r>
            <w:fldChar w:fldCharType="separate"/>
          </w:r>
          <w:r>
            <w:rPr>
              <w:rStyle w:val="13"/>
              <w:rFonts w:ascii="Times New Roman" w:hAnsi="Times New Roman" w:eastAsia="仿宋_GB2312" w:cs="Times New Roman"/>
              <w:sz w:val="32"/>
              <w:szCs w:val="32"/>
              <w:lang w:eastAsia="zh-CN"/>
            </w:rPr>
            <w:t>（一）项目概况</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_Toc112070422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"_Toc112070423" </w:instrText>
          </w:r>
          <w:r>
            <w:fldChar w:fldCharType="separate"/>
          </w:r>
          <w:r>
            <w:rPr>
              <w:rStyle w:val="13"/>
              <w:rFonts w:ascii="Times New Roman" w:hAnsi="Times New Roman" w:eastAsia="仿宋_GB2312" w:cs="Times New Roman"/>
              <w:sz w:val="32"/>
              <w:szCs w:val="32"/>
              <w:lang w:eastAsia="zh-CN"/>
            </w:rPr>
            <w:t>（二）项目绩效目标</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_Toc112070423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4</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8"/>
            <w:tabs>
              <w:tab w:val="right" w:leader="dot" w:pos="8296"/>
            </w:tabs>
            <w:rPr>
              <w:rFonts w:ascii="Times New Roman" w:hAnsi="Times New Roman" w:eastAsia="仿宋_GB2312" w:cs="Times New Roman"/>
              <w:kern w:val="2"/>
              <w:sz w:val="32"/>
              <w:szCs w:val="32"/>
              <w:lang w:eastAsia="zh-CN"/>
            </w:rPr>
          </w:pPr>
          <w:r>
            <w:fldChar w:fldCharType="begin"/>
          </w:r>
          <w:r>
            <w:instrText xml:space="preserve"> HYPERLINK \l "_Toc112070424" </w:instrText>
          </w:r>
          <w:r>
            <w:fldChar w:fldCharType="separate"/>
          </w:r>
          <w:r>
            <w:rPr>
              <w:rStyle w:val="13"/>
              <w:rFonts w:ascii="Times New Roman" w:hAnsi="Times New Roman" w:eastAsia="仿宋_GB2312" w:cs="Times New Roman"/>
              <w:spacing w:val="-4"/>
              <w:w w:val="105"/>
              <w:sz w:val="32"/>
              <w:szCs w:val="32"/>
              <w:lang w:eastAsia="zh-CN"/>
            </w:rPr>
            <w:t>二、绩效评价工作开展情况</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_Toc112070424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6</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"_Toc112070425" </w:instrText>
          </w:r>
          <w:r>
            <w:fldChar w:fldCharType="separate"/>
          </w:r>
          <w:r>
            <w:rPr>
              <w:rStyle w:val="13"/>
              <w:rFonts w:ascii="Times New Roman" w:hAnsi="Times New Roman" w:eastAsia="仿宋_GB2312" w:cs="Times New Roman"/>
              <w:sz w:val="32"/>
              <w:szCs w:val="32"/>
              <w:lang w:eastAsia="zh-CN"/>
            </w:rPr>
            <w:t>（一）绩效评价目的、对象和范围</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_Toc112070425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6</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"_Toc112070426" </w:instrText>
          </w:r>
          <w:r>
            <w:fldChar w:fldCharType="separate"/>
          </w:r>
          <w:r>
            <w:rPr>
              <w:rStyle w:val="13"/>
              <w:rFonts w:ascii="Times New Roman" w:hAnsi="Times New Roman" w:eastAsia="仿宋_GB2312" w:cs="Times New Roman"/>
              <w:sz w:val="32"/>
              <w:szCs w:val="32"/>
              <w:lang w:eastAsia="zh-CN"/>
            </w:rPr>
            <w:t>（二）绩效评价原则、指标体系、方法、标准</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_Toc112070426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6</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"_Toc112070427" </w:instrText>
          </w:r>
          <w:r>
            <w:fldChar w:fldCharType="separate"/>
          </w:r>
          <w:r>
            <w:rPr>
              <w:rStyle w:val="13"/>
              <w:rFonts w:ascii="Times New Roman" w:hAnsi="Times New Roman" w:eastAsia="仿宋_GB2312" w:cs="Times New Roman"/>
              <w:sz w:val="32"/>
              <w:szCs w:val="32"/>
              <w:lang w:eastAsia="zh-CN"/>
            </w:rPr>
            <w:t>（三）绩效评价工作过程</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_Toc112070427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9</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8"/>
            <w:tabs>
              <w:tab w:val="right" w:leader="dot" w:pos="8296"/>
            </w:tabs>
            <w:rPr>
              <w:rFonts w:ascii="Times New Roman" w:hAnsi="Times New Roman" w:eastAsia="仿宋_GB2312" w:cs="Times New Roman"/>
              <w:kern w:val="2"/>
              <w:sz w:val="32"/>
              <w:szCs w:val="32"/>
              <w:lang w:eastAsia="zh-CN"/>
            </w:rPr>
          </w:pPr>
          <w:r>
            <w:fldChar w:fldCharType="begin"/>
          </w:r>
          <w:r>
            <w:instrText xml:space="preserve"> HYPERLINK \l "_Toc112070428" </w:instrText>
          </w:r>
          <w:r>
            <w:fldChar w:fldCharType="separate"/>
          </w:r>
          <w:r>
            <w:rPr>
              <w:rStyle w:val="13"/>
              <w:rFonts w:ascii="Times New Roman" w:hAnsi="Times New Roman" w:eastAsia="仿宋_GB2312" w:cs="Times New Roman"/>
              <w:spacing w:val="-4"/>
              <w:w w:val="105"/>
              <w:sz w:val="32"/>
              <w:szCs w:val="32"/>
              <w:lang w:eastAsia="zh-CN"/>
            </w:rPr>
            <w:t>三、综合评价情况及评价结论（附相关评分表）</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_Toc112070428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11</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"_Toc112070429" </w:instrText>
          </w:r>
          <w:r>
            <w:fldChar w:fldCharType="separate"/>
          </w:r>
          <w:r>
            <w:rPr>
              <w:rStyle w:val="13"/>
              <w:rFonts w:ascii="Times New Roman" w:hAnsi="Times New Roman" w:eastAsia="仿宋_GB2312" w:cs="Times New Roman"/>
              <w:sz w:val="32"/>
              <w:szCs w:val="32"/>
              <w:lang w:eastAsia="zh-CN"/>
            </w:rPr>
            <w:t>（一）绩效评价指标综合得分情况</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_Toc112070429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11</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"_Toc112070430" </w:instrText>
          </w:r>
          <w:r>
            <w:fldChar w:fldCharType="separate"/>
          </w:r>
          <w:r>
            <w:rPr>
              <w:rStyle w:val="13"/>
              <w:rFonts w:ascii="Times New Roman" w:hAnsi="Times New Roman" w:eastAsia="仿宋_GB2312" w:cs="Times New Roman"/>
              <w:sz w:val="32"/>
              <w:szCs w:val="32"/>
              <w:lang w:eastAsia="zh-CN"/>
            </w:rPr>
            <w:t>（二）主要评价结论</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_Toc112070430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11</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8"/>
            <w:tabs>
              <w:tab w:val="right" w:leader="dot" w:pos="8296"/>
            </w:tabs>
            <w:rPr>
              <w:rFonts w:ascii="Times New Roman" w:hAnsi="Times New Roman" w:eastAsia="仿宋_GB2312" w:cs="Times New Roman"/>
              <w:kern w:val="2"/>
              <w:sz w:val="32"/>
              <w:szCs w:val="32"/>
              <w:lang w:eastAsia="zh-CN"/>
            </w:rPr>
          </w:pPr>
          <w:r>
            <w:fldChar w:fldCharType="begin"/>
          </w:r>
          <w:r>
            <w:instrText xml:space="preserve"> HYPERLINK \l "_Toc112070431" </w:instrText>
          </w:r>
          <w:r>
            <w:fldChar w:fldCharType="separate"/>
          </w:r>
          <w:r>
            <w:rPr>
              <w:rStyle w:val="13"/>
              <w:rFonts w:ascii="Times New Roman" w:hAnsi="Times New Roman" w:eastAsia="仿宋_GB2312" w:cs="Times New Roman"/>
              <w:spacing w:val="-4"/>
              <w:w w:val="105"/>
              <w:sz w:val="32"/>
              <w:szCs w:val="32"/>
              <w:lang w:eastAsia="zh-CN"/>
            </w:rPr>
            <w:t>四、绩效评价指标分析</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_Toc112070431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13</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"_Toc112070432" </w:instrText>
          </w:r>
          <w:r>
            <w:fldChar w:fldCharType="separate"/>
          </w:r>
          <w:r>
            <w:rPr>
              <w:rStyle w:val="13"/>
              <w:rFonts w:ascii="Times New Roman" w:hAnsi="Times New Roman" w:eastAsia="仿宋_GB2312" w:cs="Times New Roman"/>
              <w:sz w:val="32"/>
              <w:szCs w:val="32"/>
              <w:lang w:eastAsia="zh-CN"/>
            </w:rPr>
            <w:t>（一）项目决策情况</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_Toc112070432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13</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"_Toc112070433" </w:instrText>
          </w:r>
          <w:r>
            <w:fldChar w:fldCharType="separate"/>
          </w:r>
          <w:r>
            <w:rPr>
              <w:rStyle w:val="13"/>
              <w:rFonts w:ascii="Times New Roman" w:hAnsi="Times New Roman" w:eastAsia="仿宋_GB2312" w:cs="Times New Roman"/>
              <w:sz w:val="32"/>
              <w:szCs w:val="32"/>
              <w:lang w:eastAsia="zh-CN"/>
            </w:rPr>
            <w:t>（二）项目过程情况</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_Toc112070433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20</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"_Toc112070434" </w:instrText>
          </w:r>
          <w:r>
            <w:fldChar w:fldCharType="separate"/>
          </w:r>
          <w:r>
            <w:rPr>
              <w:rStyle w:val="13"/>
              <w:rFonts w:ascii="Times New Roman" w:hAnsi="Times New Roman" w:eastAsia="仿宋_GB2312" w:cs="Times New Roman"/>
              <w:sz w:val="32"/>
              <w:szCs w:val="32"/>
              <w:lang w:eastAsia="zh-CN"/>
            </w:rPr>
            <w:t>（三）项目产出情况</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_Toc112070434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27</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"_Toc112070435" </w:instrText>
          </w:r>
          <w:r>
            <w:fldChar w:fldCharType="separate"/>
          </w:r>
          <w:r>
            <w:rPr>
              <w:rStyle w:val="13"/>
              <w:rFonts w:ascii="Times New Roman" w:hAnsi="Times New Roman" w:eastAsia="仿宋_GB2312" w:cs="Times New Roman"/>
              <w:sz w:val="32"/>
              <w:szCs w:val="32"/>
              <w:lang w:eastAsia="zh-CN"/>
            </w:rPr>
            <w:t>（四）项目效益情况</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_Toc112070435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33</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"_Toc112070436" </w:instrText>
          </w:r>
          <w:r>
            <w:fldChar w:fldCharType="separate"/>
          </w:r>
          <w:r>
            <w:rPr>
              <w:rStyle w:val="13"/>
              <w:rFonts w:ascii="Times New Roman" w:hAnsi="Times New Roman" w:eastAsia="仿宋_GB2312" w:cs="Times New Roman"/>
              <w:sz w:val="32"/>
              <w:szCs w:val="32"/>
              <w:lang w:eastAsia="zh-CN"/>
            </w:rPr>
            <w:t>（五）项目自评情况</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_Toc112070436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34</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8"/>
            <w:tabs>
              <w:tab w:val="right" w:leader="dot" w:pos="8296"/>
            </w:tabs>
            <w:rPr>
              <w:rFonts w:ascii="Times New Roman" w:hAnsi="Times New Roman" w:eastAsia="仿宋_GB2312" w:cs="Times New Roman"/>
              <w:kern w:val="2"/>
              <w:sz w:val="32"/>
              <w:szCs w:val="32"/>
              <w:lang w:eastAsia="zh-CN"/>
            </w:rPr>
          </w:pPr>
          <w:r>
            <w:fldChar w:fldCharType="begin"/>
          </w:r>
          <w:r>
            <w:instrText xml:space="preserve"> HYPERLINK \l "_Toc112070437" </w:instrText>
          </w:r>
          <w:r>
            <w:fldChar w:fldCharType="separate"/>
          </w:r>
          <w:r>
            <w:rPr>
              <w:rStyle w:val="13"/>
              <w:rFonts w:ascii="Times New Roman" w:hAnsi="Times New Roman" w:eastAsia="仿宋_GB2312" w:cs="Times New Roman"/>
              <w:spacing w:val="-4"/>
              <w:w w:val="105"/>
              <w:sz w:val="32"/>
              <w:szCs w:val="32"/>
              <w:lang w:eastAsia="zh-CN"/>
            </w:rPr>
            <w:t>五、主要经验及做法、存在的问题及原因分析</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_Toc112070437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35</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"_Toc112070438" </w:instrText>
          </w:r>
          <w:r>
            <w:fldChar w:fldCharType="separate"/>
          </w:r>
          <w:r>
            <w:rPr>
              <w:rStyle w:val="13"/>
              <w:rFonts w:ascii="Times New Roman" w:hAnsi="Times New Roman" w:eastAsia="仿宋_GB2312" w:cs="Times New Roman"/>
              <w:sz w:val="32"/>
              <w:szCs w:val="32"/>
              <w:lang w:eastAsia="zh-CN"/>
            </w:rPr>
            <w:t>（一）项目经验</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_Toc112070438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35</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Times New Roman" w:hAnsi="Times New Roman" w:eastAsia="仿宋_GB2312" w:cs="Times New Roman"/>
              <w:kern w:val="2"/>
              <w:sz w:val="32"/>
              <w:szCs w:val="32"/>
              <w:lang w:eastAsia="zh-CN"/>
            </w:rPr>
          </w:pPr>
          <w:r>
            <w:fldChar w:fldCharType="begin"/>
          </w:r>
          <w:r>
            <w:instrText xml:space="preserve"> HYPERLINK \l "_Toc112070439" </w:instrText>
          </w:r>
          <w:r>
            <w:fldChar w:fldCharType="separate"/>
          </w:r>
          <w:r>
            <w:rPr>
              <w:rStyle w:val="13"/>
              <w:rFonts w:ascii="Times New Roman" w:hAnsi="Times New Roman" w:eastAsia="仿宋_GB2312" w:cs="Times New Roman"/>
              <w:sz w:val="32"/>
              <w:szCs w:val="32"/>
              <w:lang w:eastAsia="zh-CN"/>
            </w:rPr>
            <w:t>（二）存在问题及原因</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_Toc112070439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35</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8"/>
            <w:tabs>
              <w:tab w:val="right" w:leader="dot" w:pos="8296"/>
            </w:tabs>
            <w:rPr>
              <w:rFonts w:ascii="Times New Roman" w:hAnsi="Times New Roman" w:eastAsia="仿宋_GB2312" w:cs="Times New Roman"/>
              <w:kern w:val="2"/>
              <w:sz w:val="32"/>
              <w:szCs w:val="32"/>
              <w:lang w:eastAsia="zh-CN"/>
            </w:rPr>
          </w:pPr>
          <w:r>
            <w:fldChar w:fldCharType="begin"/>
          </w:r>
          <w:r>
            <w:instrText xml:space="preserve"> HYPERLINK \l "_Toc112070440" </w:instrText>
          </w:r>
          <w:r>
            <w:fldChar w:fldCharType="separate"/>
          </w:r>
          <w:r>
            <w:rPr>
              <w:rStyle w:val="13"/>
              <w:rFonts w:ascii="Times New Roman" w:hAnsi="Times New Roman" w:eastAsia="仿宋_GB2312" w:cs="Times New Roman"/>
              <w:spacing w:val="-4"/>
              <w:w w:val="105"/>
              <w:sz w:val="32"/>
              <w:szCs w:val="32"/>
              <w:lang w:eastAsia="zh-CN"/>
            </w:rPr>
            <w:t>六、有关建议</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_Toc112070440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36</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9"/>
            <w:tabs>
              <w:tab w:val="right" w:leader="dot" w:pos="8296"/>
            </w:tabs>
            <w:ind w:left="440"/>
            <w:rPr>
              <w:rFonts w:ascii="仿宋_GB2312" w:eastAsia="仿宋_GB2312"/>
              <w:kern w:val="2"/>
              <w:sz w:val="32"/>
              <w:szCs w:val="32"/>
              <w:lang w:eastAsia="zh-CN"/>
            </w:rPr>
          </w:pPr>
          <w:r>
            <w:fldChar w:fldCharType="begin"/>
          </w:r>
          <w:r>
            <w:instrText xml:space="preserve"> HYPERLINK \l "_Toc112070441" </w:instrText>
          </w:r>
          <w:r>
            <w:fldChar w:fldCharType="separate"/>
          </w:r>
          <w:r>
            <w:rPr>
              <w:rStyle w:val="13"/>
              <w:rFonts w:ascii="Times New Roman" w:hAnsi="Times New Roman" w:eastAsia="仿宋_GB2312" w:cs="Times New Roman"/>
              <w:sz w:val="32"/>
              <w:szCs w:val="32"/>
              <w:lang w:eastAsia="zh-CN"/>
            </w:rPr>
            <w:t>（一）制定业务管理制度，加强执行监管</w:t>
          </w:r>
          <w:r>
            <w:rPr>
              <w:rFonts w:ascii="Times New Roman" w:hAnsi="Times New Roman" w:eastAsia="仿宋_GB2312" w:cs="Times New Roman"/>
              <w:sz w:val="32"/>
              <w:szCs w:val="32"/>
            </w:rPr>
            <w:tab/>
          </w:r>
          <w:r>
            <w:rPr>
              <w:rFonts w:ascii="Times New Roman" w:hAnsi="Times New Roman" w:eastAsia="仿宋_GB2312" w:cs="Times New Roman"/>
              <w:sz w:val="32"/>
              <w:szCs w:val="32"/>
            </w:rPr>
            <w:fldChar w:fldCharType="begin"/>
          </w:r>
          <w:r>
            <w:rPr>
              <w:rFonts w:ascii="Times New Roman" w:hAnsi="Times New Roman" w:eastAsia="仿宋_GB2312" w:cs="Times New Roman"/>
              <w:sz w:val="32"/>
              <w:szCs w:val="32"/>
            </w:rPr>
            <w:instrText xml:space="preserve"> PAGEREF _Toc112070441 \h </w:instrText>
          </w:r>
          <w:r>
            <w:rPr>
              <w:rFonts w:ascii="Times New Roman" w:hAnsi="Times New Roman" w:eastAsia="仿宋_GB2312" w:cs="Times New Roman"/>
              <w:sz w:val="32"/>
              <w:szCs w:val="32"/>
            </w:rPr>
            <w:fldChar w:fldCharType="separate"/>
          </w:r>
          <w:r>
            <w:rPr>
              <w:rFonts w:ascii="Times New Roman" w:hAnsi="Times New Roman" w:eastAsia="仿宋_GB2312" w:cs="Times New Roman"/>
              <w:sz w:val="32"/>
              <w:szCs w:val="32"/>
            </w:rPr>
            <w:t>36</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fldChar w:fldCharType="end"/>
          </w:r>
        </w:p>
        <w:p>
          <w:pPr>
            <w:pStyle w:val="8"/>
            <w:tabs>
              <w:tab w:val="right" w:leader="dot" w:pos="8296"/>
            </w:tabs>
            <w:rPr>
              <w:rFonts w:ascii="Times New Roman" w:hAnsi="Times New Roman" w:eastAsia="仿宋_GB2312" w:cs="Times New Roman"/>
              <w:kern w:val="2"/>
              <w:sz w:val="32"/>
              <w:szCs w:val="32"/>
              <w:lang w:eastAsia="zh-CN"/>
            </w:rPr>
          </w:pPr>
          <w:r>
            <w:rPr>
              <w:rFonts w:hint="eastAsia" w:ascii="仿宋_GB2312" w:hAnsi="Times New Roman" w:eastAsia="仿宋_GB2312" w:cs="Times New Roman"/>
              <w:sz w:val="32"/>
              <w:szCs w:val="32"/>
            </w:rPr>
            <w:fldChar w:fldCharType="end"/>
          </w:r>
        </w:p>
      </w:sdtContent>
    </w:sdt>
    <w:p>
      <w:pPr>
        <w:spacing w:line="600" w:lineRule="auto"/>
        <w:jc w:val="center"/>
        <w:rPr>
          <w:rFonts w:ascii="Times New Roman" w:hAnsi="Times New Roman" w:cs="Times New Roman"/>
          <w:b/>
          <w:sz w:val="44"/>
          <w:szCs w:val="44"/>
          <w:lang w:eastAsia="zh-CN"/>
        </w:rPr>
        <w:sectPr>
          <w:footerReference r:id="rId4" w:type="default"/>
          <w:pgSz w:w="11906" w:h="16838"/>
          <w:pgMar w:top="1440" w:right="1800" w:bottom="1440" w:left="1800" w:header="851" w:footer="992" w:gutter="0"/>
          <w:pgNumType w:fmt="upperRoman" w:start="1"/>
          <w:cols w:space="720" w:num="1"/>
          <w:docGrid w:type="lines" w:linePitch="312" w:charSpace="0"/>
        </w:sectPr>
      </w:pPr>
    </w:p>
    <w:p>
      <w:pPr>
        <w:spacing w:line="300" w:lineRule="auto"/>
        <w:jc w:val="center"/>
        <w:outlineLvl w:val="0"/>
        <w:rPr>
          <w:rFonts w:ascii="Times New Roman" w:hAnsi="Times New Roman" w:eastAsia="黑体" w:cs="Times New Roman"/>
          <w:sz w:val="32"/>
          <w:szCs w:val="32"/>
          <w:lang w:eastAsia="zh-CN"/>
        </w:rPr>
      </w:pPr>
      <w:bookmarkStart w:id="0" w:name="_Toc112070421"/>
      <w:r>
        <w:rPr>
          <w:rFonts w:ascii="Times New Roman" w:hAnsi="Times New Roman" w:eastAsia="黑体" w:cs="Times New Roman"/>
          <w:spacing w:val="-4"/>
          <w:w w:val="105"/>
          <w:sz w:val="32"/>
          <w:szCs w:val="32"/>
          <w:lang w:eastAsia="zh-CN"/>
        </w:rPr>
        <w:t>一、基本情况</w:t>
      </w:r>
      <w:bookmarkEnd w:id="0"/>
    </w:p>
    <w:p>
      <w:pPr>
        <w:spacing w:line="300" w:lineRule="auto"/>
        <w:jc w:val="both"/>
        <w:outlineLvl w:val="1"/>
        <w:rPr>
          <w:rFonts w:ascii="Times New Roman" w:hAnsi="Times New Roman" w:eastAsia="仿宋_GB2312" w:cs="Times New Roman"/>
          <w:b/>
          <w:sz w:val="32"/>
          <w:szCs w:val="32"/>
          <w:lang w:eastAsia="zh-CN"/>
        </w:rPr>
      </w:pPr>
      <w:bookmarkStart w:id="1" w:name="_Toc112070422"/>
      <w:r>
        <w:rPr>
          <w:rFonts w:ascii="Times New Roman" w:hAnsi="Times New Roman" w:eastAsia="仿宋_GB2312" w:cs="Times New Roman"/>
          <w:b/>
          <w:sz w:val="32"/>
          <w:szCs w:val="32"/>
          <w:lang w:eastAsia="zh-CN"/>
        </w:rPr>
        <w:t>（一）项目概况</w:t>
      </w:r>
      <w:bookmarkEnd w:id="1"/>
    </w:p>
    <w:p>
      <w:pPr>
        <w:spacing w:line="300" w:lineRule="auto"/>
        <w:jc w:val="both"/>
        <w:outlineLvl w:val="2"/>
        <w:rPr>
          <w:rFonts w:ascii="Times New Roman" w:hAnsi="Times New Roman" w:eastAsia="仿宋_GB2312" w:cs="Times New Roman"/>
          <w:b/>
          <w:sz w:val="32"/>
          <w:szCs w:val="32"/>
          <w:lang w:eastAsia="zh-CN"/>
        </w:rPr>
      </w:pPr>
      <w:bookmarkStart w:id="2" w:name="_Toc107933379"/>
      <w:bookmarkStart w:id="3" w:name="_Toc460413862"/>
      <w:bookmarkStart w:id="4" w:name="_Toc83563107"/>
      <w:bookmarkStart w:id="5" w:name="_Toc63706242"/>
      <w:r>
        <w:rPr>
          <w:rFonts w:ascii="Times New Roman" w:hAnsi="Times New Roman" w:eastAsia="仿宋_GB2312" w:cs="Times New Roman"/>
          <w:b/>
          <w:sz w:val="32"/>
          <w:szCs w:val="32"/>
          <w:lang w:eastAsia="zh-CN"/>
        </w:rPr>
        <w:t>1.项目背景</w:t>
      </w:r>
      <w:bookmarkEnd w:id="2"/>
      <w:bookmarkEnd w:id="3"/>
      <w:bookmarkEnd w:id="4"/>
      <w:bookmarkEnd w:id="5"/>
    </w:p>
    <w:p>
      <w:pPr>
        <w:spacing w:line="300" w:lineRule="auto"/>
        <w:ind w:firstLine="640" w:firstLineChars="200"/>
        <w:jc w:val="both"/>
        <w:rPr>
          <w:rFonts w:ascii="Times New Roman" w:hAnsi="Times New Roman" w:eastAsia="仿宋_GB2312" w:cs="Times New Roman"/>
          <w:sz w:val="32"/>
          <w:szCs w:val="32"/>
          <w:lang w:eastAsia="zh-CN"/>
        </w:rPr>
      </w:pPr>
      <w:bookmarkStart w:id="6" w:name="_Toc460413863"/>
      <w:r>
        <w:rPr>
          <w:rFonts w:hint="eastAsia" w:ascii="Times New Roman" w:hAnsi="Times New Roman" w:eastAsia="仿宋_GB2312" w:cs="Times New Roman"/>
          <w:sz w:val="32"/>
          <w:szCs w:val="32"/>
          <w:lang w:eastAsia="zh-CN"/>
        </w:rPr>
        <w:t>本项目为做好滨海新区流通领域产品质量监督抽查工作，进一步提升滨海新区流通领域产品质量整体水平，依法维护市场秩序，保护消费者合法权益，按照《关于印发&lt;2021年天津市滨海新区流通领域产品质量监督抽查工作计划&gt;的通知》（津滨市场监管质监[2021]9号）的要求，天津东疆保税港区市场监督管理局开展2021年商品、食品等质量安全监督抽检项目。</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按照《滨海新区市场监督管理局落实&lt;天津市撤销冒用他人身份信息取得公司登记工作操作规程&gt;的指导意见》（津滨市场监管政服[2019]111号）为保障冒用他人身份信息取得公司登记中被冒用人的合法权益，维护公司登记管理秩序，开展对于部分冒用身份证案件或特殊案件进行笔迹、印章等鉴定工作。</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按照《天津市市场监管部门随机抽查事项清单》（2020版）中公示信息检查的内容进行核验。对东疆企业2019年度信息、即时信息进行检查工作。主要包括协助采购人对企业2019年度年报信息、以往即时信息开展审计工作，包括但不限于审计、复审、作出专业结论、出具专业报告及相关辅助工作等。</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本项目按照《区市场监管局 区政务服务办关于印发&lt;部分园区转供电不合理加价专项整治工作方案&gt;的通知》（津滨市场监管价格[2021]5号）为进一步改善营商环境，降低企业用电成本，解决好部分园区存在的落实国家降低电价政策不及时、不到位问题。</w:t>
      </w:r>
    </w:p>
    <w:p>
      <w:pPr>
        <w:spacing w:line="300" w:lineRule="auto"/>
        <w:jc w:val="both"/>
        <w:outlineLvl w:val="2"/>
        <w:rPr>
          <w:rFonts w:ascii="Times New Roman" w:hAnsi="Times New Roman" w:eastAsia="仿宋_GB2312" w:cs="Times New Roman"/>
          <w:b/>
          <w:sz w:val="32"/>
          <w:szCs w:val="32"/>
          <w:lang w:eastAsia="zh-CN"/>
        </w:rPr>
      </w:pPr>
      <w:bookmarkStart w:id="7" w:name="_Toc63706243"/>
      <w:bookmarkStart w:id="8" w:name="_Toc83563108"/>
      <w:bookmarkStart w:id="9" w:name="_Toc107933380"/>
      <w:r>
        <w:rPr>
          <w:rFonts w:ascii="Times New Roman" w:hAnsi="Times New Roman" w:eastAsia="仿宋_GB2312" w:cs="Times New Roman"/>
          <w:b/>
          <w:sz w:val="32"/>
          <w:szCs w:val="32"/>
          <w:lang w:eastAsia="zh-CN"/>
        </w:rPr>
        <w:t>2.项目基本情况</w:t>
      </w:r>
      <w:bookmarkEnd w:id="6"/>
      <w:bookmarkEnd w:id="7"/>
      <w:bookmarkEnd w:id="8"/>
      <w:bookmarkEnd w:id="9"/>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（1）项目名称及实施单位</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项目名称</w:t>
      </w:r>
      <w:r>
        <w:rPr>
          <w:rFonts w:hint="eastAsia" w:ascii="Times New Roman" w:hAnsi="Times New Roman" w:eastAsia="仿宋_GB2312" w:cs="Times New Roman"/>
          <w:sz w:val="32"/>
          <w:szCs w:val="32"/>
          <w:lang w:eastAsia="zh-CN"/>
        </w:rPr>
        <w:t>：市场监管业务</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实施单位：</w:t>
      </w:r>
      <w:r>
        <w:rPr>
          <w:rFonts w:hint="eastAsia" w:ascii="Times New Roman" w:hAnsi="Times New Roman" w:eastAsia="仿宋_GB2312" w:cs="Times New Roman"/>
          <w:sz w:val="32"/>
          <w:szCs w:val="32"/>
          <w:lang w:eastAsia="zh-CN"/>
        </w:rPr>
        <w:t>天津东疆保税港区市场监督管理局（以下简称：“市场局”）</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实施地址：天津东疆保税港区</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（2）项目简介</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1）项目类型</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本项目支出功能分类科目为：一般公共服务支出-市场监督管理事务-一般行政管理事务（201-38-02）。</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2）主要内容和规模</w:t>
      </w:r>
    </w:p>
    <w:p>
      <w:pPr>
        <w:spacing w:line="300" w:lineRule="auto"/>
        <w:ind w:firstLine="640" w:firstLineChars="200"/>
        <w:jc w:val="both"/>
        <w:rPr>
          <w:rFonts w:ascii="Times New Roman" w:hAnsi="Times New Roman" w:eastAsia="仿宋_GB2312" w:cs="Times New Roman"/>
          <w:kern w:val="2"/>
          <w:sz w:val="32"/>
          <w:szCs w:val="32"/>
          <w:lang w:eastAsia="zh-CN"/>
        </w:rPr>
      </w:pPr>
      <w:r>
        <w:rPr>
          <w:rFonts w:hint="eastAsia" w:ascii="Times New Roman" w:hAnsi="Times New Roman" w:eastAsia="仿宋_GB2312" w:cs="Times New Roman"/>
          <w:kern w:val="2"/>
          <w:sz w:val="32"/>
          <w:szCs w:val="32"/>
          <w:lang w:eastAsia="zh-CN"/>
        </w:rPr>
        <w:t>市场监管业务包括：产品质量抽检工作、食品药品医疗器械安全监管服务费、鉴定费、企业管理辅助信息服务、转供电第三方服务费等项目。</w:t>
      </w:r>
    </w:p>
    <w:p>
      <w:pPr>
        <w:spacing w:line="300" w:lineRule="auto"/>
        <w:ind w:firstLine="640" w:firstLineChars="200"/>
        <w:jc w:val="both"/>
        <w:rPr>
          <w:rFonts w:ascii="Times New Roman" w:hAnsi="Times New Roman" w:eastAsia="仿宋_GB2312" w:cs="Times New Roman"/>
          <w:kern w:val="2"/>
          <w:sz w:val="32"/>
          <w:szCs w:val="32"/>
          <w:lang w:eastAsia="zh-CN"/>
        </w:rPr>
      </w:pPr>
      <w:r>
        <w:rPr>
          <w:rFonts w:ascii="Times New Roman" w:hAnsi="Times New Roman" w:eastAsia="仿宋_GB2312" w:cs="Times New Roman"/>
          <w:kern w:val="2"/>
          <w:sz w:val="32"/>
          <w:szCs w:val="32"/>
          <w:lang w:eastAsia="zh-CN"/>
        </w:rPr>
        <w:fldChar w:fldCharType="begin"/>
      </w:r>
      <w:r>
        <w:rPr>
          <w:rFonts w:ascii="Times New Roman" w:hAnsi="Times New Roman" w:eastAsia="仿宋_GB2312" w:cs="Times New Roman"/>
          <w:kern w:val="2"/>
          <w:sz w:val="32"/>
          <w:szCs w:val="32"/>
          <w:lang w:eastAsia="zh-CN"/>
        </w:rPr>
        <w:instrText xml:space="preserve"> </w:instrText>
      </w:r>
      <w:r>
        <w:rPr>
          <w:rFonts w:hint="eastAsia" w:ascii="Times New Roman" w:hAnsi="Times New Roman" w:eastAsia="仿宋_GB2312" w:cs="Times New Roman"/>
          <w:kern w:val="2"/>
          <w:sz w:val="32"/>
          <w:szCs w:val="32"/>
          <w:lang w:eastAsia="zh-CN"/>
        </w:rPr>
        <w:instrText xml:space="preserve">= 1 \* GB3</w:instrText>
      </w:r>
      <w:r>
        <w:rPr>
          <w:rFonts w:ascii="Times New Roman" w:hAnsi="Times New Roman" w:eastAsia="仿宋_GB2312" w:cs="Times New Roman"/>
          <w:kern w:val="2"/>
          <w:sz w:val="32"/>
          <w:szCs w:val="32"/>
          <w:lang w:eastAsia="zh-CN"/>
        </w:rPr>
        <w:instrText xml:space="preserve"> </w:instrText>
      </w:r>
      <w:r>
        <w:rPr>
          <w:rFonts w:ascii="Times New Roman" w:hAnsi="Times New Roman" w:eastAsia="仿宋_GB2312" w:cs="Times New Roman"/>
          <w:kern w:val="2"/>
          <w:sz w:val="32"/>
          <w:szCs w:val="32"/>
          <w:lang w:eastAsia="zh-CN"/>
        </w:rPr>
        <w:fldChar w:fldCharType="separate"/>
      </w:r>
      <w:r>
        <w:rPr>
          <w:rFonts w:hint="eastAsia" w:ascii="Times New Roman" w:hAnsi="Times New Roman" w:eastAsia="仿宋_GB2312" w:cs="Times New Roman"/>
          <w:kern w:val="2"/>
          <w:sz w:val="32"/>
          <w:szCs w:val="32"/>
          <w:lang w:eastAsia="zh-CN"/>
        </w:rPr>
        <w:t>①</w:t>
      </w:r>
      <w:r>
        <w:rPr>
          <w:rFonts w:ascii="Times New Roman" w:hAnsi="Times New Roman" w:eastAsia="仿宋_GB2312" w:cs="Times New Roman"/>
          <w:kern w:val="2"/>
          <w:sz w:val="32"/>
          <w:szCs w:val="32"/>
          <w:lang w:eastAsia="zh-CN"/>
        </w:rPr>
        <w:fldChar w:fldCharType="end"/>
      </w:r>
      <w:r>
        <w:rPr>
          <w:rFonts w:hint="eastAsia" w:ascii="Times New Roman" w:hAnsi="Times New Roman" w:eastAsia="仿宋_GB2312" w:cs="Times New Roman"/>
          <w:kern w:val="2"/>
          <w:sz w:val="32"/>
          <w:szCs w:val="32"/>
          <w:lang w:eastAsia="zh-CN"/>
        </w:rPr>
        <w:t>产品质量抽检工作：对2021年度流通领域产品质量监督抽检工作，主要包括：抽样、检测、数据汇总、结果报送、分析评估等工作。</w:t>
      </w:r>
    </w:p>
    <w:p>
      <w:pPr>
        <w:spacing w:line="300" w:lineRule="auto"/>
        <w:ind w:firstLine="640" w:firstLineChars="200"/>
        <w:jc w:val="both"/>
        <w:rPr>
          <w:rFonts w:ascii="Times New Roman" w:hAnsi="Times New Roman" w:eastAsia="仿宋_GB2312" w:cs="Times New Roman"/>
          <w:kern w:val="2"/>
          <w:sz w:val="32"/>
          <w:szCs w:val="32"/>
          <w:lang w:eastAsia="zh-CN"/>
        </w:rPr>
      </w:pPr>
      <w:r>
        <w:rPr>
          <w:rFonts w:ascii="Times New Roman" w:hAnsi="Times New Roman" w:eastAsia="仿宋_GB2312" w:cs="Times New Roman"/>
          <w:kern w:val="2"/>
          <w:sz w:val="32"/>
          <w:szCs w:val="32"/>
          <w:lang w:eastAsia="zh-CN"/>
        </w:rPr>
        <w:fldChar w:fldCharType="begin"/>
      </w:r>
      <w:r>
        <w:rPr>
          <w:rFonts w:ascii="Times New Roman" w:hAnsi="Times New Roman" w:eastAsia="仿宋_GB2312" w:cs="Times New Roman"/>
          <w:kern w:val="2"/>
          <w:sz w:val="32"/>
          <w:szCs w:val="32"/>
          <w:lang w:eastAsia="zh-CN"/>
        </w:rPr>
        <w:instrText xml:space="preserve"> </w:instrText>
      </w:r>
      <w:r>
        <w:rPr>
          <w:rFonts w:hint="eastAsia" w:ascii="Times New Roman" w:hAnsi="Times New Roman" w:eastAsia="仿宋_GB2312" w:cs="Times New Roman"/>
          <w:kern w:val="2"/>
          <w:sz w:val="32"/>
          <w:szCs w:val="32"/>
          <w:lang w:eastAsia="zh-CN"/>
        </w:rPr>
        <w:instrText xml:space="preserve">= 2 \* GB3</w:instrText>
      </w:r>
      <w:r>
        <w:rPr>
          <w:rFonts w:ascii="Times New Roman" w:hAnsi="Times New Roman" w:eastAsia="仿宋_GB2312" w:cs="Times New Roman"/>
          <w:kern w:val="2"/>
          <w:sz w:val="32"/>
          <w:szCs w:val="32"/>
          <w:lang w:eastAsia="zh-CN"/>
        </w:rPr>
        <w:instrText xml:space="preserve"> </w:instrText>
      </w:r>
      <w:r>
        <w:rPr>
          <w:rFonts w:ascii="Times New Roman" w:hAnsi="Times New Roman" w:eastAsia="仿宋_GB2312" w:cs="Times New Roman"/>
          <w:kern w:val="2"/>
          <w:sz w:val="32"/>
          <w:szCs w:val="32"/>
          <w:lang w:eastAsia="zh-CN"/>
        </w:rPr>
        <w:fldChar w:fldCharType="separate"/>
      </w:r>
      <w:r>
        <w:rPr>
          <w:rFonts w:hint="eastAsia" w:ascii="Times New Roman" w:hAnsi="Times New Roman" w:eastAsia="仿宋_GB2312" w:cs="Times New Roman"/>
          <w:kern w:val="2"/>
          <w:sz w:val="32"/>
          <w:szCs w:val="32"/>
          <w:lang w:eastAsia="zh-CN"/>
        </w:rPr>
        <w:t>②</w:t>
      </w:r>
      <w:r>
        <w:rPr>
          <w:rFonts w:ascii="Times New Roman" w:hAnsi="Times New Roman" w:eastAsia="仿宋_GB2312" w:cs="Times New Roman"/>
          <w:kern w:val="2"/>
          <w:sz w:val="32"/>
          <w:szCs w:val="32"/>
          <w:lang w:eastAsia="zh-CN"/>
        </w:rPr>
        <w:fldChar w:fldCharType="end"/>
      </w:r>
      <w:r>
        <w:rPr>
          <w:rFonts w:hint="eastAsia" w:ascii="Times New Roman" w:hAnsi="Times New Roman" w:eastAsia="仿宋_GB2312" w:cs="Times New Roman"/>
          <w:kern w:val="2"/>
          <w:sz w:val="32"/>
          <w:szCs w:val="32"/>
          <w:lang w:eastAsia="zh-CN"/>
        </w:rPr>
        <w:t>食品药品医疗器械安全监管服务费：引入第三方机构开展食品药品医疗器械监督检查、抽检等工作，包括食品抽检、创城创卫食品安全风险检查、医疗器械检查、食堂抽检工作等。</w:t>
      </w:r>
    </w:p>
    <w:p>
      <w:pPr>
        <w:spacing w:line="300" w:lineRule="auto"/>
        <w:ind w:firstLine="640" w:firstLineChars="200"/>
        <w:jc w:val="both"/>
        <w:rPr>
          <w:rFonts w:ascii="Times New Roman" w:hAnsi="Times New Roman" w:eastAsia="仿宋_GB2312" w:cs="Times New Roman"/>
          <w:kern w:val="2"/>
          <w:sz w:val="32"/>
          <w:szCs w:val="32"/>
          <w:lang w:eastAsia="zh-CN"/>
        </w:rPr>
      </w:pPr>
      <w:r>
        <w:rPr>
          <w:rFonts w:ascii="Times New Roman" w:hAnsi="Times New Roman" w:eastAsia="仿宋_GB2312" w:cs="Times New Roman"/>
          <w:kern w:val="2"/>
          <w:sz w:val="32"/>
          <w:szCs w:val="32"/>
          <w:lang w:eastAsia="zh-CN"/>
        </w:rPr>
        <w:fldChar w:fldCharType="begin"/>
      </w:r>
      <w:r>
        <w:rPr>
          <w:rFonts w:ascii="Times New Roman" w:hAnsi="Times New Roman" w:eastAsia="仿宋_GB2312" w:cs="Times New Roman"/>
          <w:kern w:val="2"/>
          <w:sz w:val="32"/>
          <w:szCs w:val="32"/>
          <w:lang w:eastAsia="zh-CN"/>
        </w:rPr>
        <w:instrText xml:space="preserve"> </w:instrText>
      </w:r>
      <w:r>
        <w:rPr>
          <w:rFonts w:hint="eastAsia" w:ascii="Times New Roman" w:hAnsi="Times New Roman" w:eastAsia="仿宋_GB2312" w:cs="Times New Roman"/>
          <w:kern w:val="2"/>
          <w:sz w:val="32"/>
          <w:szCs w:val="32"/>
          <w:lang w:eastAsia="zh-CN"/>
        </w:rPr>
        <w:instrText xml:space="preserve">= 3 \* GB3</w:instrText>
      </w:r>
      <w:r>
        <w:rPr>
          <w:rFonts w:ascii="Times New Roman" w:hAnsi="Times New Roman" w:eastAsia="仿宋_GB2312" w:cs="Times New Roman"/>
          <w:kern w:val="2"/>
          <w:sz w:val="32"/>
          <w:szCs w:val="32"/>
          <w:lang w:eastAsia="zh-CN"/>
        </w:rPr>
        <w:instrText xml:space="preserve"> </w:instrText>
      </w:r>
      <w:r>
        <w:rPr>
          <w:rFonts w:ascii="Times New Roman" w:hAnsi="Times New Roman" w:eastAsia="仿宋_GB2312" w:cs="Times New Roman"/>
          <w:kern w:val="2"/>
          <w:sz w:val="32"/>
          <w:szCs w:val="32"/>
          <w:lang w:eastAsia="zh-CN"/>
        </w:rPr>
        <w:fldChar w:fldCharType="separate"/>
      </w:r>
      <w:r>
        <w:rPr>
          <w:rFonts w:hint="eastAsia" w:ascii="Times New Roman" w:hAnsi="Times New Roman" w:eastAsia="仿宋_GB2312" w:cs="Times New Roman"/>
          <w:kern w:val="2"/>
          <w:sz w:val="32"/>
          <w:szCs w:val="32"/>
          <w:lang w:eastAsia="zh-CN"/>
        </w:rPr>
        <w:t>③</w:t>
      </w:r>
      <w:r>
        <w:rPr>
          <w:rFonts w:ascii="Times New Roman" w:hAnsi="Times New Roman" w:eastAsia="仿宋_GB2312" w:cs="Times New Roman"/>
          <w:kern w:val="2"/>
          <w:sz w:val="32"/>
          <w:szCs w:val="32"/>
          <w:lang w:eastAsia="zh-CN"/>
        </w:rPr>
        <w:fldChar w:fldCharType="end"/>
      </w:r>
      <w:r>
        <w:rPr>
          <w:rFonts w:hint="eastAsia" w:ascii="Times New Roman" w:hAnsi="Times New Roman" w:eastAsia="仿宋_GB2312" w:cs="Times New Roman"/>
          <w:kern w:val="2"/>
          <w:sz w:val="32"/>
          <w:szCs w:val="32"/>
          <w:lang w:eastAsia="zh-CN"/>
        </w:rPr>
        <w:t>鉴定费：引入第三方机构对于部分冒用身份证案件或特殊案件进行笔迹、印章等鉴定服务。</w:t>
      </w:r>
    </w:p>
    <w:p>
      <w:pPr>
        <w:spacing w:line="300" w:lineRule="auto"/>
        <w:ind w:firstLine="640" w:firstLineChars="200"/>
        <w:jc w:val="both"/>
        <w:rPr>
          <w:rFonts w:ascii="Times New Roman" w:hAnsi="Times New Roman" w:eastAsia="仿宋_GB2312" w:cs="Times New Roman"/>
          <w:kern w:val="2"/>
          <w:sz w:val="32"/>
          <w:szCs w:val="32"/>
          <w:lang w:eastAsia="zh-CN"/>
        </w:rPr>
      </w:pPr>
      <w:r>
        <w:rPr>
          <w:rFonts w:ascii="Times New Roman" w:hAnsi="Times New Roman" w:eastAsia="仿宋_GB2312" w:cs="Times New Roman"/>
          <w:kern w:val="2"/>
          <w:sz w:val="32"/>
          <w:szCs w:val="32"/>
          <w:lang w:eastAsia="zh-CN"/>
        </w:rPr>
        <w:fldChar w:fldCharType="begin"/>
      </w:r>
      <w:r>
        <w:rPr>
          <w:rFonts w:ascii="Times New Roman" w:hAnsi="Times New Roman" w:eastAsia="仿宋_GB2312" w:cs="Times New Roman"/>
          <w:kern w:val="2"/>
          <w:sz w:val="32"/>
          <w:szCs w:val="32"/>
          <w:lang w:eastAsia="zh-CN"/>
        </w:rPr>
        <w:instrText xml:space="preserve"> </w:instrText>
      </w:r>
      <w:r>
        <w:rPr>
          <w:rFonts w:hint="eastAsia" w:ascii="Times New Roman" w:hAnsi="Times New Roman" w:eastAsia="仿宋_GB2312" w:cs="Times New Roman"/>
          <w:kern w:val="2"/>
          <w:sz w:val="32"/>
          <w:szCs w:val="32"/>
          <w:lang w:eastAsia="zh-CN"/>
        </w:rPr>
        <w:instrText xml:space="preserve">= 4 \* GB3</w:instrText>
      </w:r>
      <w:r>
        <w:rPr>
          <w:rFonts w:ascii="Times New Roman" w:hAnsi="Times New Roman" w:eastAsia="仿宋_GB2312" w:cs="Times New Roman"/>
          <w:kern w:val="2"/>
          <w:sz w:val="32"/>
          <w:szCs w:val="32"/>
          <w:lang w:eastAsia="zh-CN"/>
        </w:rPr>
        <w:instrText xml:space="preserve"> </w:instrText>
      </w:r>
      <w:r>
        <w:rPr>
          <w:rFonts w:ascii="Times New Roman" w:hAnsi="Times New Roman" w:eastAsia="仿宋_GB2312" w:cs="Times New Roman"/>
          <w:kern w:val="2"/>
          <w:sz w:val="32"/>
          <w:szCs w:val="32"/>
          <w:lang w:eastAsia="zh-CN"/>
        </w:rPr>
        <w:fldChar w:fldCharType="separate"/>
      </w:r>
      <w:r>
        <w:rPr>
          <w:rFonts w:hint="eastAsia" w:ascii="Times New Roman" w:hAnsi="Times New Roman" w:eastAsia="仿宋_GB2312" w:cs="Times New Roman"/>
          <w:kern w:val="2"/>
          <w:sz w:val="32"/>
          <w:szCs w:val="32"/>
          <w:lang w:eastAsia="zh-CN"/>
        </w:rPr>
        <w:t>④</w:t>
      </w:r>
      <w:r>
        <w:rPr>
          <w:rFonts w:ascii="Times New Roman" w:hAnsi="Times New Roman" w:eastAsia="仿宋_GB2312" w:cs="Times New Roman"/>
          <w:kern w:val="2"/>
          <w:sz w:val="32"/>
          <w:szCs w:val="32"/>
          <w:lang w:eastAsia="zh-CN"/>
        </w:rPr>
        <w:fldChar w:fldCharType="end"/>
      </w:r>
      <w:r>
        <w:rPr>
          <w:rFonts w:hint="eastAsia" w:ascii="Times New Roman" w:hAnsi="Times New Roman" w:eastAsia="仿宋_GB2312" w:cs="Times New Roman"/>
          <w:kern w:val="2"/>
          <w:sz w:val="32"/>
          <w:szCs w:val="32"/>
          <w:lang w:eastAsia="zh-CN"/>
        </w:rPr>
        <w:t>企业管理辅助信息服务：定期向企业推送提醒服务通知，督促企业依法依规经营；对企业信息公示年报及各企业专项报送工作进行定期提醒服务，协助企业报送，解答企业相关问题；根据法律法规更迭，及时通知企业了解、掌握、加强政策推广；制定专项服务台账，及时反馈企业诉求，列明企业情况明细；对各项专项服务工作进行统计、整理。</w:t>
      </w:r>
    </w:p>
    <w:p>
      <w:pPr>
        <w:spacing w:line="300" w:lineRule="auto"/>
        <w:ind w:firstLine="640" w:firstLineChars="200"/>
        <w:jc w:val="both"/>
        <w:rPr>
          <w:rFonts w:ascii="Times New Roman" w:hAnsi="Times New Roman" w:eastAsia="仿宋_GB2312" w:cs="Times New Roman"/>
          <w:kern w:val="2"/>
          <w:sz w:val="32"/>
          <w:szCs w:val="32"/>
          <w:lang w:eastAsia="zh-CN"/>
        </w:rPr>
      </w:pPr>
      <w:r>
        <w:rPr>
          <w:rFonts w:ascii="Times New Roman" w:hAnsi="Times New Roman" w:eastAsia="仿宋_GB2312" w:cs="Times New Roman"/>
          <w:kern w:val="2"/>
          <w:sz w:val="32"/>
          <w:szCs w:val="32"/>
          <w:lang w:eastAsia="zh-CN"/>
        </w:rPr>
        <w:fldChar w:fldCharType="begin"/>
      </w:r>
      <w:r>
        <w:rPr>
          <w:rFonts w:ascii="Times New Roman" w:hAnsi="Times New Roman" w:eastAsia="仿宋_GB2312" w:cs="Times New Roman"/>
          <w:kern w:val="2"/>
          <w:sz w:val="32"/>
          <w:szCs w:val="32"/>
          <w:lang w:eastAsia="zh-CN"/>
        </w:rPr>
        <w:instrText xml:space="preserve"> </w:instrText>
      </w:r>
      <w:r>
        <w:rPr>
          <w:rFonts w:hint="eastAsia" w:ascii="Times New Roman" w:hAnsi="Times New Roman" w:eastAsia="仿宋_GB2312" w:cs="Times New Roman"/>
          <w:kern w:val="2"/>
          <w:sz w:val="32"/>
          <w:szCs w:val="32"/>
          <w:lang w:eastAsia="zh-CN"/>
        </w:rPr>
        <w:instrText xml:space="preserve">= 5 \* GB3</w:instrText>
      </w:r>
      <w:r>
        <w:rPr>
          <w:rFonts w:ascii="Times New Roman" w:hAnsi="Times New Roman" w:eastAsia="仿宋_GB2312" w:cs="Times New Roman"/>
          <w:kern w:val="2"/>
          <w:sz w:val="32"/>
          <w:szCs w:val="32"/>
          <w:lang w:eastAsia="zh-CN"/>
        </w:rPr>
        <w:instrText xml:space="preserve"> </w:instrText>
      </w:r>
      <w:r>
        <w:rPr>
          <w:rFonts w:ascii="Times New Roman" w:hAnsi="Times New Roman" w:eastAsia="仿宋_GB2312" w:cs="Times New Roman"/>
          <w:kern w:val="2"/>
          <w:sz w:val="32"/>
          <w:szCs w:val="32"/>
          <w:lang w:eastAsia="zh-CN"/>
        </w:rPr>
        <w:fldChar w:fldCharType="separate"/>
      </w:r>
      <w:r>
        <w:rPr>
          <w:rFonts w:hint="eastAsia" w:ascii="Times New Roman" w:hAnsi="Times New Roman" w:eastAsia="仿宋_GB2312" w:cs="Times New Roman"/>
          <w:kern w:val="2"/>
          <w:sz w:val="32"/>
          <w:szCs w:val="32"/>
          <w:lang w:eastAsia="zh-CN"/>
        </w:rPr>
        <w:t>⑤</w:t>
      </w:r>
      <w:r>
        <w:rPr>
          <w:rFonts w:ascii="Times New Roman" w:hAnsi="Times New Roman" w:eastAsia="仿宋_GB2312" w:cs="Times New Roman"/>
          <w:kern w:val="2"/>
          <w:sz w:val="32"/>
          <w:szCs w:val="32"/>
          <w:lang w:eastAsia="zh-CN"/>
        </w:rPr>
        <w:fldChar w:fldCharType="end"/>
      </w:r>
      <w:r>
        <w:rPr>
          <w:rFonts w:hint="eastAsia" w:ascii="Times New Roman" w:hAnsi="Times New Roman" w:eastAsia="仿宋_GB2312" w:cs="Times New Roman"/>
          <w:kern w:val="2"/>
          <w:sz w:val="32"/>
          <w:szCs w:val="32"/>
          <w:lang w:eastAsia="zh-CN"/>
        </w:rPr>
        <w:t>转供电第三方服务费：对东疆转供电主体企业在2018年4月至2021年6月期间的电费支付和转供电费收取及退费情况进行审核。</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3）项目资金使用及管理情况</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本项目2021年初批复预算为2670000元，中期调整后批复预算</w:t>
      </w:r>
      <w:r>
        <w:rPr>
          <w:rFonts w:ascii="Times New Roman" w:hAnsi="Times New Roman" w:eastAsia="仿宋_GB2312" w:cs="Times New Roman"/>
          <w:sz w:val="32"/>
          <w:szCs w:val="32"/>
          <w:lang w:eastAsia="zh-CN"/>
        </w:rPr>
        <w:t>1809700</w:t>
      </w:r>
      <w:r>
        <w:rPr>
          <w:rFonts w:hint="eastAsia" w:ascii="Times New Roman" w:hAnsi="Times New Roman" w:eastAsia="仿宋_GB2312" w:cs="Times New Roman"/>
          <w:sz w:val="32"/>
          <w:szCs w:val="32"/>
          <w:lang w:eastAsia="zh-CN"/>
        </w:rPr>
        <w:t>元，全年预算数为</w:t>
      </w:r>
      <w:r>
        <w:rPr>
          <w:rFonts w:ascii="Times New Roman" w:hAnsi="Times New Roman" w:eastAsia="仿宋_GB2312" w:cs="Times New Roman"/>
          <w:sz w:val="32"/>
          <w:szCs w:val="32"/>
          <w:lang w:eastAsia="zh-CN"/>
        </w:rPr>
        <w:t>1809700</w:t>
      </w:r>
      <w:r>
        <w:rPr>
          <w:rFonts w:hint="eastAsia" w:ascii="Times New Roman" w:hAnsi="Times New Roman" w:eastAsia="仿宋_GB2312" w:cs="Times New Roman"/>
          <w:sz w:val="32"/>
          <w:szCs w:val="32"/>
          <w:lang w:eastAsia="zh-CN"/>
        </w:rPr>
        <w:t>元。全年实际支出1751561元。资金到位率为100%，预算执行率为96.79%。</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4）立项审批程序</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kern w:val="2"/>
          <w:sz w:val="32"/>
          <w:szCs w:val="32"/>
          <w:lang w:eastAsia="zh-CN"/>
        </w:rPr>
        <w:t>经管委会第六次主任会和第七次党委常委会审议，</w:t>
      </w:r>
      <w:r>
        <w:rPr>
          <w:rFonts w:hint="eastAsia" w:ascii="Times New Roman" w:hAnsi="Times New Roman" w:eastAsia="仿宋_GB2312"/>
          <w:sz w:val="32"/>
          <w:szCs w:val="32"/>
          <w:lang w:eastAsia="zh-CN"/>
        </w:rPr>
        <w:t>东疆保税港区市场监督管理局2021年部门预算经管委会集体决策后通过。</w:t>
      </w:r>
    </w:p>
    <w:p>
      <w:pPr>
        <w:spacing w:line="300" w:lineRule="auto"/>
        <w:ind w:firstLine="640" w:firstLineChars="200"/>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2021年3月3日，东疆保税港区市场监督管理局2021年部门预算获得财政局的批复（津东疆财政预指[2021]10号），其中“市场监管业务”项目预算费用为</w:t>
      </w:r>
      <w:r>
        <w:rPr>
          <w:rFonts w:ascii="Times New Roman" w:hAnsi="Times New Roman" w:eastAsia="仿宋_GB2312"/>
          <w:sz w:val="32"/>
          <w:szCs w:val="32"/>
          <w:lang w:eastAsia="zh-CN"/>
        </w:rPr>
        <w:t>2670000</w:t>
      </w:r>
      <w:r>
        <w:rPr>
          <w:rFonts w:hint="eastAsia" w:ascii="Times New Roman" w:hAnsi="Times New Roman" w:eastAsia="仿宋_GB2312"/>
          <w:sz w:val="32"/>
          <w:szCs w:val="32"/>
          <w:lang w:eastAsia="zh-CN"/>
        </w:rPr>
        <w:t>元。</w:t>
      </w:r>
    </w:p>
    <w:p>
      <w:pPr>
        <w:spacing w:line="300" w:lineRule="auto"/>
        <w:ind w:firstLine="640" w:firstLineChars="200"/>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2021年10月19日，东疆保税港区市场监督管理局2021年度部门中期调整预算获得财政局的批复（津东疆财预指[2021]31号），其中“市场监管业务”项目中期调整后预算为</w:t>
      </w:r>
      <w:r>
        <w:rPr>
          <w:rFonts w:ascii="Times New Roman" w:hAnsi="Times New Roman" w:eastAsia="仿宋_GB2312" w:cs="Times New Roman"/>
          <w:sz w:val="32"/>
          <w:szCs w:val="32"/>
          <w:lang w:eastAsia="zh-CN"/>
        </w:rPr>
        <w:t>1809700</w:t>
      </w:r>
      <w:r>
        <w:rPr>
          <w:rFonts w:hint="eastAsia" w:ascii="Times New Roman" w:hAnsi="Times New Roman" w:eastAsia="仿宋_GB2312"/>
          <w:sz w:val="32"/>
          <w:szCs w:val="32"/>
          <w:lang w:eastAsia="zh-CN"/>
        </w:rPr>
        <w:t>元。</w:t>
      </w:r>
    </w:p>
    <w:p>
      <w:pPr>
        <w:spacing w:line="300" w:lineRule="auto"/>
        <w:jc w:val="both"/>
        <w:outlineLvl w:val="1"/>
        <w:rPr>
          <w:rFonts w:ascii="Times New Roman" w:hAnsi="Times New Roman" w:eastAsia="仿宋_GB2312" w:cs="Times New Roman"/>
          <w:b/>
          <w:sz w:val="32"/>
          <w:szCs w:val="32"/>
          <w:lang w:eastAsia="zh-CN"/>
        </w:rPr>
      </w:pPr>
      <w:bookmarkStart w:id="10" w:name="_Toc112070423"/>
      <w:r>
        <w:rPr>
          <w:rFonts w:ascii="Times New Roman" w:hAnsi="Times New Roman" w:eastAsia="仿宋_GB2312" w:cs="Times New Roman"/>
          <w:b/>
          <w:sz w:val="32"/>
          <w:szCs w:val="32"/>
          <w:lang w:eastAsia="zh-CN"/>
        </w:rPr>
        <w:t>（二）项目绩效目标</w:t>
      </w:r>
      <w:bookmarkEnd w:id="10"/>
    </w:p>
    <w:p>
      <w:pPr>
        <w:spacing w:line="300" w:lineRule="auto"/>
        <w:ind w:firstLine="640" w:firstLineChars="200"/>
        <w:jc w:val="both"/>
        <w:rPr>
          <w:rFonts w:ascii="Times New Roman" w:hAnsi="Times New Roman" w:eastAsia="仿宋_GB2312"/>
          <w:sz w:val="32"/>
          <w:szCs w:val="32"/>
          <w:lang w:eastAsia="zh-CN"/>
        </w:rPr>
      </w:pPr>
      <w:bookmarkStart w:id="11" w:name="_Toc460413866"/>
      <w:r>
        <w:rPr>
          <w:rFonts w:hint="eastAsia" w:ascii="Times New Roman" w:hAnsi="Times New Roman" w:eastAsia="仿宋_GB2312"/>
          <w:sz w:val="32"/>
          <w:szCs w:val="32"/>
          <w:lang w:eastAsia="zh-CN"/>
        </w:rPr>
        <w:t>（1）项目绩效总目标：</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目标1：开展各类产品质量抽检，及时发现并消除安全隐患，防范风险，切实保障人民群众健康安全。</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目标2：引入第三方机构协助执法人员开展食品药品医疗器械安全监管服务。</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目标3：及时向企业发送相关提醒通知，及时了解企业诉求，及时为企业解答疑问。</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目标4：了解企业基本经营情况，做到底数清、情况明。</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目标5：核查区内转供电企业是否存在违规收费情况，涉及需退费企业退费金额是否准确。</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目标6：作为办理冒用身份信息登记企业案件中的关键证据。</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（1）数量指标</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开展抽检完成率100%；定期向企业推送提醒服务通知≥20000户次；转供电主体审查覆盖率100%。</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（2）质量指标</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企业提醒服务联系台账信息完善度100%；企业信息公示年报问题解答满意度95%；服务验收合格率100%。</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（3）时效指标</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企业信息公示年报提醒服务100%；工作发生后8小时内能够安排4名符合要求人员；通知提醒及时率100%。</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（4）成本指标</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服务费用≤180.97万。</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（5）社会效益指标</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提升监管效果；年报完成率≥90%。</w:t>
      </w:r>
    </w:p>
    <w:p>
      <w:pPr>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（6）满意度指标</w:t>
      </w:r>
    </w:p>
    <w:p>
      <w:pPr>
        <w:spacing w:line="300" w:lineRule="auto"/>
        <w:ind w:firstLine="640" w:firstLineChars="200"/>
        <w:jc w:val="both"/>
        <w:rPr>
          <w:rFonts w:ascii="Times New Roman" w:hAnsi="Times New Roman" w:eastAsia="黑体" w:cs="Times New Roman"/>
          <w:spacing w:val="-4"/>
          <w:w w:val="105"/>
          <w:sz w:val="32"/>
          <w:szCs w:val="32"/>
          <w:highlight w:val="yellow"/>
          <w:lang w:eastAsia="zh-CN"/>
        </w:rPr>
        <w:sectPr>
          <w:headerReference r:id="rId5" w:type="default"/>
          <w:footerReference r:id="rId6" w:type="default"/>
          <w:pgSz w:w="11906" w:h="16838"/>
          <w:pgMar w:top="1440" w:right="1800" w:bottom="1440" w:left="1800" w:header="851" w:footer="992" w:gutter="0"/>
          <w:pgNumType w:start="1"/>
          <w:cols w:space="425" w:num="1"/>
          <w:docGrid w:type="lines" w:linePitch="312" w:charSpace="0"/>
        </w:sectPr>
      </w:pPr>
      <w:r>
        <w:rPr>
          <w:rFonts w:hint="eastAsia" w:ascii="Times New Roman" w:hAnsi="Times New Roman" w:eastAsia="仿宋_GB2312"/>
          <w:sz w:val="32"/>
          <w:szCs w:val="32"/>
          <w:lang w:eastAsia="zh-CN"/>
        </w:rPr>
        <w:t>行政相对人满意度≥95%</w:t>
      </w:r>
      <w:bookmarkEnd w:id="11"/>
      <w:r>
        <w:rPr>
          <w:rFonts w:hint="eastAsia" w:ascii="Times New Roman" w:hAnsi="Times New Roman" w:eastAsia="仿宋_GB2312"/>
          <w:sz w:val="32"/>
          <w:szCs w:val="32"/>
          <w:lang w:eastAsia="zh-CN"/>
        </w:rPr>
        <w:t>；工作人员满意度≥95%。</w:t>
      </w:r>
    </w:p>
    <w:p>
      <w:pPr>
        <w:spacing w:line="300" w:lineRule="auto"/>
        <w:jc w:val="center"/>
        <w:outlineLvl w:val="0"/>
        <w:rPr>
          <w:rFonts w:ascii="Times New Roman" w:hAnsi="Times New Roman" w:eastAsia="黑体" w:cs="Times New Roman"/>
          <w:spacing w:val="-4"/>
          <w:w w:val="105"/>
          <w:sz w:val="32"/>
          <w:szCs w:val="32"/>
          <w:lang w:eastAsia="zh-CN"/>
        </w:rPr>
      </w:pPr>
      <w:bookmarkStart w:id="12" w:name="_Toc112070424"/>
      <w:r>
        <w:rPr>
          <w:rFonts w:ascii="Times New Roman" w:hAnsi="Times New Roman" w:eastAsia="黑体" w:cs="Times New Roman"/>
          <w:spacing w:val="-4"/>
          <w:w w:val="105"/>
          <w:sz w:val="32"/>
          <w:szCs w:val="32"/>
          <w:lang w:eastAsia="zh-CN"/>
        </w:rPr>
        <w:t>二、绩效评价工作开展情况</w:t>
      </w:r>
      <w:bookmarkEnd w:id="12"/>
    </w:p>
    <w:p>
      <w:pPr>
        <w:spacing w:line="300" w:lineRule="auto"/>
        <w:jc w:val="both"/>
        <w:outlineLvl w:val="1"/>
        <w:rPr>
          <w:rFonts w:ascii="Times New Roman" w:hAnsi="Times New Roman" w:eastAsia="仿宋_GB2312" w:cs="Times New Roman"/>
          <w:b/>
          <w:sz w:val="32"/>
          <w:szCs w:val="32"/>
          <w:lang w:eastAsia="zh-CN"/>
        </w:rPr>
      </w:pPr>
      <w:bookmarkStart w:id="13" w:name="_Toc112070425"/>
      <w:r>
        <w:rPr>
          <w:rFonts w:hint="eastAsia" w:ascii="Times New Roman" w:hAnsi="Times New Roman" w:eastAsia="仿宋_GB2312" w:cs="Times New Roman"/>
          <w:b/>
          <w:sz w:val="32"/>
          <w:szCs w:val="32"/>
          <w:lang w:eastAsia="zh-CN"/>
        </w:rPr>
        <w:t>（一）</w:t>
      </w:r>
      <w:r>
        <w:rPr>
          <w:rFonts w:ascii="Times New Roman" w:hAnsi="Times New Roman" w:eastAsia="仿宋_GB2312" w:cs="Times New Roman"/>
          <w:b/>
          <w:sz w:val="32"/>
          <w:szCs w:val="32"/>
          <w:lang w:eastAsia="zh-CN"/>
        </w:rPr>
        <w:t>绩效评价目的</w:t>
      </w:r>
      <w:r>
        <w:rPr>
          <w:rFonts w:hint="eastAsia" w:ascii="Times New Roman" w:hAnsi="Times New Roman" w:eastAsia="仿宋_GB2312" w:cs="Times New Roman"/>
          <w:b/>
          <w:sz w:val="32"/>
          <w:szCs w:val="32"/>
          <w:lang w:eastAsia="zh-CN"/>
        </w:rPr>
        <w:t>、对象和范围</w:t>
      </w:r>
      <w:bookmarkEnd w:id="13"/>
    </w:p>
    <w:p>
      <w:pPr>
        <w:autoSpaceDE w:val="0"/>
        <w:autoSpaceDN w:val="0"/>
        <w:adjustRightInd w:val="0"/>
        <w:spacing w:line="300" w:lineRule="auto"/>
        <w:ind w:firstLine="643" w:firstLineChars="200"/>
        <w:jc w:val="both"/>
        <w:outlineLvl w:val="2"/>
        <w:rPr>
          <w:rFonts w:ascii="Times New Roman" w:hAnsi="Times New Roman" w:eastAsia="仿宋_GB2312"/>
          <w:b/>
          <w:sz w:val="32"/>
          <w:szCs w:val="32"/>
          <w:lang w:eastAsia="zh-CN"/>
        </w:rPr>
      </w:pPr>
      <w:bookmarkStart w:id="14" w:name="_Toc107933384"/>
      <w:bookmarkStart w:id="15" w:name="_Toc83563112"/>
      <w:bookmarkStart w:id="16" w:name="_Toc63706247"/>
      <w:r>
        <w:rPr>
          <w:rFonts w:hint="eastAsia" w:ascii="Times New Roman" w:hAnsi="Times New Roman" w:eastAsia="仿宋_GB2312"/>
          <w:b/>
          <w:sz w:val="32"/>
          <w:szCs w:val="32"/>
          <w:lang w:eastAsia="zh-CN"/>
        </w:rPr>
        <w:t>1.绩效评价目的</w:t>
      </w:r>
      <w:bookmarkEnd w:id="14"/>
      <w:bookmarkEnd w:id="15"/>
      <w:bookmarkEnd w:id="16"/>
    </w:p>
    <w:p>
      <w:pPr>
        <w:widowControl/>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pPr>
        <w:autoSpaceDE w:val="0"/>
        <w:autoSpaceDN w:val="0"/>
        <w:adjustRightInd w:val="0"/>
        <w:spacing w:line="300" w:lineRule="auto"/>
        <w:ind w:firstLine="643" w:firstLineChars="200"/>
        <w:jc w:val="both"/>
        <w:outlineLvl w:val="2"/>
        <w:rPr>
          <w:rFonts w:ascii="Times New Roman" w:hAnsi="Times New Roman" w:eastAsia="仿宋_GB2312"/>
          <w:b/>
          <w:sz w:val="32"/>
          <w:szCs w:val="32"/>
          <w:lang w:eastAsia="zh-CN"/>
        </w:rPr>
      </w:pPr>
      <w:bookmarkStart w:id="17" w:name="_Toc63706248"/>
      <w:bookmarkStart w:id="18" w:name="_Toc83563113"/>
      <w:bookmarkStart w:id="19" w:name="_Toc107933385"/>
      <w:r>
        <w:rPr>
          <w:rFonts w:hint="eastAsia" w:ascii="Times New Roman" w:hAnsi="Times New Roman" w:eastAsia="仿宋_GB2312"/>
          <w:b/>
          <w:sz w:val="32"/>
          <w:szCs w:val="32"/>
          <w:lang w:eastAsia="zh-CN"/>
        </w:rPr>
        <w:t>2.绩效评价对象和范围</w:t>
      </w:r>
      <w:bookmarkEnd w:id="17"/>
      <w:bookmarkEnd w:id="18"/>
      <w:bookmarkEnd w:id="19"/>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本次对</w:t>
      </w:r>
      <w:r>
        <w:rPr>
          <w:rFonts w:hint="eastAsia" w:ascii="Times New Roman" w:hAnsi="Times New Roman" w:eastAsia="仿宋_GB2312"/>
          <w:sz w:val="32"/>
          <w:szCs w:val="32"/>
          <w:lang w:eastAsia="zh-CN"/>
        </w:rPr>
        <w:t>市场监管业务项目进行绩效评价</w:t>
      </w:r>
      <w:r>
        <w:rPr>
          <w:rFonts w:hint="eastAsia" w:ascii="Times New Roman" w:hAnsi="Times New Roman" w:eastAsia="仿宋_GB2312" w:cs="Times New Roman"/>
          <w:sz w:val="32"/>
          <w:szCs w:val="32"/>
          <w:lang w:eastAsia="zh-CN"/>
        </w:rPr>
        <w:t>，主要评价内容及范围如下：</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（1）立项依据和立项程序情况；</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（2）绩效目标和指标设定情况；</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（3）预算编制和资金分配情况；</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（4）资金管理和使用情况；</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（5）相关制度办法的健全性及执行情况；</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（6）实现的产出情况；</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（7）取得的效益情况；</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（8）项目的自评情况。</w:t>
      </w:r>
    </w:p>
    <w:p>
      <w:pPr>
        <w:spacing w:line="300" w:lineRule="auto"/>
        <w:jc w:val="both"/>
        <w:outlineLvl w:val="1"/>
        <w:rPr>
          <w:rFonts w:ascii="Times New Roman" w:hAnsi="Times New Roman" w:eastAsia="仿宋_GB2312" w:cs="Times New Roman"/>
          <w:b/>
          <w:sz w:val="32"/>
          <w:szCs w:val="32"/>
          <w:lang w:eastAsia="zh-CN"/>
        </w:rPr>
      </w:pPr>
      <w:bookmarkStart w:id="20" w:name="_Toc112070426"/>
      <w:r>
        <w:rPr>
          <w:rFonts w:hint="eastAsia" w:ascii="Times New Roman" w:hAnsi="Times New Roman" w:eastAsia="仿宋_GB2312" w:cs="Times New Roman"/>
          <w:b/>
          <w:sz w:val="32"/>
          <w:szCs w:val="32"/>
          <w:lang w:eastAsia="zh-CN"/>
        </w:rPr>
        <w:t>（二）绩效评价原则、指标体系、方法、标准</w:t>
      </w:r>
      <w:bookmarkEnd w:id="20"/>
    </w:p>
    <w:p>
      <w:pPr>
        <w:autoSpaceDE w:val="0"/>
        <w:autoSpaceDN w:val="0"/>
        <w:adjustRightInd w:val="0"/>
        <w:spacing w:line="300" w:lineRule="auto"/>
        <w:ind w:firstLine="643" w:firstLineChars="200"/>
        <w:jc w:val="both"/>
        <w:outlineLvl w:val="2"/>
        <w:rPr>
          <w:rFonts w:ascii="Times New Roman" w:hAnsi="Times New Roman" w:eastAsia="仿宋_GB2312"/>
          <w:b/>
          <w:sz w:val="32"/>
          <w:szCs w:val="32"/>
          <w:lang w:eastAsia="zh-CN"/>
        </w:rPr>
      </w:pPr>
      <w:bookmarkStart w:id="21" w:name="_Toc63706250"/>
      <w:bookmarkStart w:id="22" w:name="_Toc107933387"/>
      <w:bookmarkStart w:id="23" w:name="_Toc83563115"/>
      <w:r>
        <w:rPr>
          <w:rFonts w:hint="eastAsia" w:ascii="Times New Roman" w:hAnsi="Times New Roman" w:eastAsia="仿宋_GB2312"/>
          <w:b/>
          <w:sz w:val="32"/>
          <w:szCs w:val="32"/>
          <w:lang w:eastAsia="zh-CN"/>
        </w:rPr>
        <w:t>1.绩效评价原则</w:t>
      </w:r>
      <w:bookmarkEnd w:id="21"/>
      <w:bookmarkEnd w:id="22"/>
      <w:bookmarkEnd w:id="23"/>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（1）科学规范原则。绩效评价应当运用科学合理的评价指标体系和方法，按照规范的程序，对支出绩效进行客观、公正的反映。</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（2）统筹兼顾原则。绩效自评、部门评价和财政评价应职责明确，各有侧重，互相衔接。按照“谁支出、谁自评”的原则，绩效自评由市场局自主实施，财政评价委托第三方机构实施。</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（3）激励约束原则。绩效评价结果应与预算安排、政策调整、改进管理实质性挂钩，体现奖优罚劣和激励相容导向，有效要安排、低效要压减、无效要问责。</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（4）公开透明原则。绩效评价结果应依法依规公开，并自觉接受有关机构和社会监督。</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（5）有据可循原则。预算绩效评价以实际情况为基础，绩效评价所依据的资料是往年实际数据或是依据实际数据推算得到的数据。</w:t>
      </w:r>
    </w:p>
    <w:p>
      <w:pPr>
        <w:autoSpaceDE w:val="0"/>
        <w:autoSpaceDN w:val="0"/>
        <w:adjustRightInd w:val="0"/>
        <w:spacing w:line="300" w:lineRule="auto"/>
        <w:ind w:firstLine="643" w:firstLineChars="200"/>
        <w:jc w:val="both"/>
        <w:outlineLvl w:val="2"/>
        <w:rPr>
          <w:rFonts w:ascii="Times New Roman" w:hAnsi="Times New Roman" w:eastAsia="仿宋_GB2312"/>
          <w:b/>
          <w:sz w:val="32"/>
          <w:szCs w:val="32"/>
          <w:lang w:eastAsia="zh-CN"/>
        </w:rPr>
      </w:pPr>
      <w:bookmarkStart w:id="24" w:name="_Toc107933388"/>
      <w:bookmarkStart w:id="25" w:name="_Toc63706251"/>
      <w:bookmarkStart w:id="26" w:name="_Toc83563116"/>
      <w:r>
        <w:rPr>
          <w:rFonts w:hint="eastAsia" w:ascii="Times New Roman" w:hAnsi="Times New Roman" w:eastAsia="仿宋_GB2312"/>
          <w:b/>
          <w:sz w:val="32"/>
          <w:szCs w:val="32"/>
          <w:lang w:eastAsia="zh-CN"/>
        </w:rPr>
        <w:t>2.绩效评价指标体系</w:t>
      </w:r>
      <w:bookmarkEnd w:id="24"/>
      <w:bookmarkEnd w:id="25"/>
      <w:bookmarkEnd w:id="26"/>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项目绩效评价指标体系由决策、过程、产出、效益及自评5个一级指标构成。设置二级指标11个，三级指标27个。</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该项目绩效评价指标体系详见附件：</w:t>
      </w:r>
      <w:r>
        <w:rPr>
          <w:rFonts w:hint="eastAsia" w:ascii="Times New Roman" w:hAnsi="Times New Roman" w:eastAsia="仿宋_GB2312"/>
          <w:sz w:val="32"/>
          <w:szCs w:val="32"/>
          <w:lang w:eastAsia="zh-CN"/>
        </w:rPr>
        <w:t>市场监管业务绩效评价指标评分表</w:t>
      </w:r>
      <w:r>
        <w:rPr>
          <w:rFonts w:hint="eastAsia" w:ascii="Times New Roman" w:hAnsi="Times New Roman" w:eastAsia="仿宋_GB2312" w:cs="Times New Roman"/>
          <w:sz w:val="32"/>
          <w:szCs w:val="32"/>
          <w:lang w:eastAsia="zh-CN"/>
        </w:rPr>
        <w:t>。</w:t>
      </w:r>
    </w:p>
    <w:p>
      <w:pPr>
        <w:autoSpaceDE w:val="0"/>
        <w:autoSpaceDN w:val="0"/>
        <w:adjustRightInd w:val="0"/>
        <w:spacing w:line="300" w:lineRule="auto"/>
        <w:ind w:firstLine="643" w:firstLineChars="200"/>
        <w:jc w:val="both"/>
        <w:outlineLvl w:val="2"/>
        <w:rPr>
          <w:rFonts w:ascii="Times New Roman" w:hAnsi="Times New Roman" w:eastAsia="仿宋_GB2312"/>
          <w:b/>
          <w:sz w:val="32"/>
          <w:szCs w:val="32"/>
          <w:lang w:eastAsia="zh-CN"/>
        </w:rPr>
      </w:pPr>
      <w:bookmarkStart w:id="27" w:name="_Toc63706252"/>
      <w:bookmarkStart w:id="28" w:name="_Toc107933389"/>
      <w:bookmarkStart w:id="29" w:name="_Toc83563117"/>
      <w:r>
        <w:rPr>
          <w:rFonts w:hint="eastAsia" w:ascii="Times New Roman" w:hAnsi="Times New Roman" w:eastAsia="仿宋_GB2312"/>
          <w:b/>
          <w:sz w:val="32"/>
          <w:szCs w:val="32"/>
          <w:lang w:eastAsia="zh-CN"/>
        </w:rPr>
        <w:t>3.绩效评价方法</w:t>
      </w:r>
      <w:bookmarkEnd w:id="27"/>
      <w:bookmarkEnd w:id="28"/>
      <w:bookmarkEnd w:id="29"/>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绩效评价技术方法主要有成本效益分析法、比较法、因素分析法、最低成本法、公众评判法等。其中：</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（1）成本效益分析法。是指将一定时期内的支出与效益进行对比分析，以评价绩效目标的实现程度。</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（2）比较法。是指通过对绩效目标与实施效果、历史与当期情况、不同部门和地区同类支出的比较，综合分析绩效目标的实现程度。</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（3）因素分析法。是指通过综合分析影响绩效目标实现、实施效果的内外因素，评价绩效目标实现程度。</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（4）最低成本法。是指对效益确定却不易计量的多个同类对象的实施成本进行比较，评价绩效目标的实现程度。</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（5）公众评判法。是指通过专家评估、公众问卷及抽样调查等对预算支出效果进行评判，评价绩效目标的实现程度。</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（6）其他评价方法。</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绩效评价方法的选用应当坚持简便有效的原则，评价时可根据对象的具体情况，采用一种或多种方法进行绩效评价。</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在本次评价过程中，将采用抽查、审阅、计算、询问、观察、分析性复核等方法。通过市场局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pPr>
        <w:autoSpaceDE w:val="0"/>
        <w:autoSpaceDN w:val="0"/>
        <w:adjustRightInd w:val="0"/>
        <w:spacing w:line="300" w:lineRule="auto"/>
        <w:ind w:firstLine="643" w:firstLineChars="200"/>
        <w:jc w:val="both"/>
        <w:outlineLvl w:val="2"/>
        <w:rPr>
          <w:rFonts w:ascii="Times New Roman" w:hAnsi="Times New Roman" w:eastAsia="仿宋_GB2312"/>
          <w:b/>
          <w:sz w:val="32"/>
          <w:szCs w:val="32"/>
          <w:lang w:eastAsia="zh-CN"/>
        </w:rPr>
      </w:pPr>
      <w:bookmarkStart w:id="30" w:name="_Toc63706253"/>
      <w:bookmarkStart w:id="31" w:name="_Toc107933390"/>
      <w:bookmarkStart w:id="32" w:name="_Toc83563118"/>
      <w:r>
        <w:rPr>
          <w:rFonts w:hint="eastAsia" w:ascii="Times New Roman" w:hAnsi="Times New Roman" w:eastAsia="仿宋_GB2312"/>
          <w:b/>
          <w:sz w:val="32"/>
          <w:szCs w:val="32"/>
          <w:lang w:eastAsia="zh-CN"/>
        </w:rPr>
        <w:t>4.绩效评价标准</w:t>
      </w:r>
      <w:bookmarkEnd w:id="30"/>
      <w:bookmarkEnd w:id="31"/>
      <w:bookmarkEnd w:id="32"/>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该项目绩效评价标准详见附件：</w:t>
      </w:r>
      <w:r>
        <w:rPr>
          <w:rFonts w:hint="eastAsia" w:ascii="Times New Roman" w:hAnsi="Times New Roman" w:eastAsia="仿宋_GB2312"/>
          <w:sz w:val="32"/>
          <w:szCs w:val="32"/>
          <w:lang w:eastAsia="zh-CN"/>
        </w:rPr>
        <w:t>市场监管业务绩效评价指标评分表</w:t>
      </w:r>
      <w:r>
        <w:rPr>
          <w:rFonts w:hint="eastAsia" w:ascii="Times New Roman" w:hAnsi="Times New Roman" w:eastAsia="仿宋_GB2312" w:cs="Times New Roman"/>
          <w:sz w:val="32"/>
          <w:szCs w:val="32"/>
          <w:lang w:eastAsia="zh-CN"/>
        </w:rPr>
        <w:t>。</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指标体系满分100分，各项指标综合得分90分（含）以上为优；80分（含）至90分为良；60分（含）至80分为中；60分以下为差。</w:t>
      </w:r>
    </w:p>
    <w:p>
      <w:pPr>
        <w:spacing w:line="300" w:lineRule="auto"/>
        <w:jc w:val="both"/>
        <w:outlineLvl w:val="1"/>
        <w:rPr>
          <w:rFonts w:ascii="Times New Roman" w:hAnsi="Times New Roman" w:eastAsia="仿宋_GB2312" w:cs="Times New Roman"/>
          <w:b/>
          <w:sz w:val="32"/>
          <w:szCs w:val="32"/>
          <w:lang w:eastAsia="zh-CN"/>
        </w:rPr>
      </w:pPr>
      <w:bookmarkStart w:id="33" w:name="_Toc112070427"/>
      <w:r>
        <w:rPr>
          <w:rFonts w:hint="eastAsia" w:ascii="Times New Roman" w:hAnsi="Times New Roman" w:eastAsia="仿宋_GB2312" w:cs="Times New Roman"/>
          <w:b/>
          <w:sz w:val="32"/>
          <w:szCs w:val="32"/>
          <w:lang w:eastAsia="zh-CN"/>
        </w:rPr>
        <w:t>（三）</w:t>
      </w:r>
      <w:r>
        <w:rPr>
          <w:rFonts w:ascii="Times New Roman" w:hAnsi="Times New Roman" w:eastAsia="仿宋_GB2312" w:cs="Times New Roman"/>
          <w:b/>
          <w:sz w:val="32"/>
          <w:szCs w:val="32"/>
          <w:lang w:eastAsia="zh-CN"/>
        </w:rPr>
        <w:t>绩效评价工作过程</w:t>
      </w:r>
      <w:bookmarkEnd w:id="33"/>
    </w:p>
    <w:p>
      <w:pPr>
        <w:autoSpaceDE w:val="0"/>
        <w:autoSpaceDN w:val="0"/>
        <w:adjustRightInd w:val="0"/>
        <w:spacing w:line="300" w:lineRule="auto"/>
        <w:ind w:firstLine="643" w:firstLineChars="200"/>
        <w:jc w:val="both"/>
        <w:outlineLvl w:val="2"/>
        <w:rPr>
          <w:rFonts w:ascii="Times New Roman" w:hAnsi="Times New Roman" w:eastAsia="仿宋_GB2312"/>
          <w:b/>
          <w:sz w:val="32"/>
          <w:szCs w:val="32"/>
          <w:lang w:eastAsia="zh-CN"/>
        </w:rPr>
      </w:pPr>
      <w:bookmarkStart w:id="34" w:name="_Toc63706255"/>
      <w:bookmarkStart w:id="35" w:name="_Toc83563120"/>
      <w:bookmarkStart w:id="36" w:name="_Toc107933392"/>
      <w:r>
        <w:rPr>
          <w:rFonts w:hint="eastAsia" w:ascii="Times New Roman" w:hAnsi="Times New Roman" w:eastAsia="仿宋_GB2312"/>
          <w:b/>
          <w:sz w:val="32"/>
          <w:szCs w:val="32"/>
          <w:lang w:eastAsia="zh-CN"/>
        </w:rPr>
        <w:t>1.前期准备</w:t>
      </w:r>
      <w:bookmarkEnd w:id="34"/>
      <w:bookmarkEnd w:id="35"/>
      <w:bookmarkEnd w:id="36"/>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（1）成立绩效评价工作组</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公司抽调专人成立绩效评价工作组，制定评价方案，明确工作职责，组织人员开展业务学习，熟悉相关政策和要求，设计相关表格，联系相关部门和单位，确定实施时间。</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（2）组织各单位编制自评报告</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组织各单位进行自评，填报自评表、编制自评报告。</w:t>
      </w:r>
    </w:p>
    <w:p>
      <w:pPr>
        <w:autoSpaceDE w:val="0"/>
        <w:autoSpaceDN w:val="0"/>
        <w:adjustRightInd w:val="0"/>
        <w:spacing w:line="300" w:lineRule="auto"/>
        <w:ind w:firstLine="643" w:firstLineChars="200"/>
        <w:jc w:val="both"/>
        <w:outlineLvl w:val="2"/>
        <w:rPr>
          <w:rFonts w:ascii="Times New Roman" w:hAnsi="Times New Roman" w:eastAsia="仿宋_GB2312"/>
          <w:b/>
          <w:sz w:val="32"/>
          <w:szCs w:val="32"/>
          <w:lang w:eastAsia="zh-CN"/>
        </w:rPr>
      </w:pPr>
      <w:bookmarkStart w:id="37" w:name="_Toc83563121"/>
      <w:bookmarkStart w:id="38" w:name="_Toc107933393"/>
      <w:bookmarkStart w:id="39" w:name="_Toc63706256"/>
      <w:r>
        <w:rPr>
          <w:rFonts w:hint="eastAsia" w:ascii="Times New Roman" w:hAnsi="Times New Roman" w:eastAsia="仿宋_GB2312"/>
          <w:b/>
          <w:sz w:val="32"/>
          <w:szCs w:val="32"/>
          <w:lang w:eastAsia="zh-CN"/>
        </w:rPr>
        <w:t>2.实施阶段</w:t>
      </w:r>
      <w:bookmarkEnd w:id="37"/>
      <w:bookmarkEnd w:id="38"/>
      <w:bookmarkEnd w:id="39"/>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（1）收集分析资料、建立指标体系</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（2）召开座谈会及现场调研</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组织市场局及相关人员等召开座谈会，双方就资料分析过程中产生的问题进行沟通。</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（3）报告撰写阶段</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pPr>
        <w:autoSpaceDE w:val="0"/>
        <w:autoSpaceDN w:val="0"/>
        <w:adjustRightInd w:val="0"/>
        <w:spacing w:line="300" w:lineRule="auto"/>
        <w:ind w:firstLine="643" w:firstLineChars="200"/>
        <w:jc w:val="both"/>
        <w:outlineLvl w:val="2"/>
        <w:rPr>
          <w:rFonts w:ascii="Times New Roman" w:hAnsi="Times New Roman" w:eastAsia="仿宋_GB2312"/>
          <w:b/>
          <w:sz w:val="32"/>
          <w:szCs w:val="32"/>
          <w:lang w:eastAsia="zh-CN"/>
        </w:rPr>
      </w:pPr>
      <w:bookmarkStart w:id="40" w:name="_Toc63706257"/>
      <w:bookmarkStart w:id="41" w:name="_Toc83563122"/>
      <w:bookmarkStart w:id="42" w:name="_Toc107933394"/>
      <w:r>
        <w:rPr>
          <w:rFonts w:hint="eastAsia" w:ascii="Times New Roman" w:hAnsi="Times New Roman" w:eastAsia="仿宋_GB2312"/>
          <w:b/>
          <w:sz w:val="32"/>
          <w:szCs w:val="32"/>
          <w:lang w:eastAsia="zh-CN"/>
        </w:rPr>
        <w:t>3.评价完成阶段</w:t>
      </w:r>
      <w:bookmarkEnd w:id="40"/>
      <w:bookmarkEnd w:id="41"/>
      <w:bookmarkEnd w:id="42"/>
    </w:p>
    <w:p>
      <w:pPr>
        <w:autoSpaceDE w:val="0"/>
        <w:autoSpaceDN w:val="0"/>
        <w:adjustRightInd w:val="0"/>
        <w:spacing w:line="300" w:lineRule="auto"/>
        <w:ind w:firstLine="640" w:firstLineChars="200"/>
        <w:jc w:val="both"/>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与财政部门沟通报告初步结论及内容；向市场局发送评价结论，并听取其反馈意见；经最终调整修正后，出具评估报告；及时整理评估工作底稿、附件、核对取证记录和有关资料，将完整的项目评价资料登记归档。</w:t>
      </w:r>
    </w:p>
    <w:p>
      <w:pPr>
        <w:spacing w:line="600" w:lineRule="exact"/>
        <w:jc w:val="both"/>
        <w:outlineLvl w:val="1"/>
        <w:rPr>
          <w:rFonts w:ascii="Times New Roman" w:hAnsi="Times New Roman" w:eastAsia="仿宋_GB2312" w:cs="Times New Roman"/>
          <w:b/>
          <w:sz w:val="32"/>
          <w:szCs w:val="32"/>
          <w:lang w:eastAsia="zh-CN"/>
        </w:rPr>
        <w:sectPr>
          <w:pgSz w:w="11906" w:h="16838"/>
          <w:pgMar w:top="1440" w:right="1800" w:bottom="1440" w:left="1800" w:header="851" w:footer="992" w:gutter="0"/>
          <w:cols w:space="425" w:num="1"/>
          <w:docGrid w:type="lines" w:linePitch="312" w:charSpace="0"/>
        </w:sectPr>
      </w:pPr>
    </w:p>
    <w:p>
      <w:pPr>
        <w:spacing w:line="300" w:lineRule="auto"/>
        <w:jc w:val="center"/>
        <w:outlineLvl w:val="0"/>
        <w:rPr>
          <w:rFonts w:ascii="Times New Roman" w:hAnsi="Times New Roman" w:eastAsia="黑体" w:cs="Times New Roman"/>
          <w:spacing w:val="-4"/>
          <w:w w:val="105"/>
          <w:sz w:val="32"/>
          <w:szCs w:val="32"/>
          <w:lang w:eastAsia="zh-CN"/>
        </w:rPr>
      </w:pPr>
      <w:bookmarkStart w:id="43" w:name="_Toc112070428"/>
      <w:r>
        <w:rPr>
          <w:rFonts w:ascii="Times New Roman" w:hAnsi="Times New Roman" w:eastAsia="黑体" w:cs="Times New Roman"/>
          <w:spacing w:val="-4"/>
          <w:w w:val="105"/>
          <w:sz w:val="32"/>
          <w:szCs w:val="32"/>
          <w:lang w:eastAsia="zh-CN"/>
        </w:rPr>
        <w:t>三、综合评价情况及评价结论（附相关评分表）</w:t>
      </w:r>
      <w:bookmarkEnd w:id="43"/>
    </w:p>
    <w:p>
      <w:pPr>
        <w:spacing w:line="300" w:lineRule="auto"/>
        <w:jc w:val="both"/>
        <w:outlineLvl w:val="1"/>
        <w:rPr>
          <w:rFonts w:ascii="Times New Roman" w:hAnsi="Times New Roman" w:eastAsia="仿宋_GB2312" w:cs="Times New Roman"/>
          <w:b/>
          <w:sz w:val="32"/>
          <w:szCs w:val="32"/>
          <w:lang w:eastAsia="zh-CN"/>
        </w:rPr>
      </w:pPr>
      <w:bookmarkStart w:id="44" w:name="_Toc460413895"/>
      <w:bookmarkStart w:id="45" w:name="_Toc112070429"/>
      <w:r>
        <w:rPr>
          <w:rFonts w:ascii="Times New Roman" w:hAnsi="Times New Roman" w:eastAsia="仿宋_GB2312" w:cs="Times New Roman"/>
          <w:b/>
          <w:sz w:val="32"/>
          <w:szCs w:val="32"/>
          <w:lang w:eastAsia="zh-CN"/>
        </w:rPr>
        <w:t>（一）绩效评价指标综合得分情况</w:t>
      </w:r>
      <w:bookmarkEnd w:id="44"/>
      <w:bookmarkEnd w:id="45"/>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对市场监管业务项目决策、过程、产出和效益进行了分析评价，根据各评价指标的权重及得分确定本项目综合绩效得分98.87分，根据表3.1，最终绩效评价结果等级为优。</w:t>
      </w:r>
    </w:p>
    <w:p>
      <w:pPr>
        <w:spacing w:line="360" w:lineRule="auto"/>
        <w:jc w:val="center"/>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表3.</w:t>
      </w:r>
      <w:r>
        <w:rPr>
          <w:rFonts w:hint="eastAsia" w:ascii="Times New Roman" w:hAnsi="Times New Roman" w:eastAsia="仿宋_GB2312" w:cs="Times New Roman"/>
          <w:sz w:val="30"/>
          <w:szCs w:val="30"/>
          <w:lang w:eastAsia="zh-CN"/>
        </w:rPr>
        <w:t>1</w:t>
      </w:r>
      <w:r>
        <w:rPr>
          <w:rFonts w:ascii="Times New Roman" w:hAnsi="Times New Roman" w:eastAsia="仿宋_GB2312" w:cs="Times New Roman"/>
          <w:sz w:val="30"/>
          <w:szCs w:val="30"/>
          <w:lang w:eastAsia="zh-CN"/>
        </w:rPr>
        <w:t>绩效评价结果等级划分</w:t>
      </w:r>
    </w:p>
    <w:tbl>
      <w:tblPr>
        <w:tblStyle w:val="10"/>
        <w:tblW w:w="84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2841"/>
        <w:gridCol w:w="4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vAlign w:val="center"/>
          </w:tcPr>
          <w:p>
            <w:pPr>
              <w:spacing w:line="440" w:lineRule="exact"/>
              <w:jc w:val="both"/>
              <w:rPr>
                <w:rFonts w:ascii="Times New Roman" w:hAnsi="Times New Roman" w:eastAsia="仿宋_GB2312" w:cs="Times New Roman"/>
                <w:b/>
                <w:sz w:val="30"/>
                <w:szCs w:val="30"/>
              </w:rPr>
            </w:pPr>
            <w:r>
              <w:rPr>
                <w:rFonts w:ascii="Times New Roman" w:hAnsi="Times New Roman" w:eastAsia="仿宋_GB2312" w:cs="Times New Roman"/>
                <w:b/>
                <w:sz w:val="30"/>
                <w:szCs w:val="30"/>
              </w:rPr>
              <w:t>序号</w:t>
            </w:r>
          </w:p>
        </w:tc>
        <w:tc>
          <w:tcPr>
            <w:tcW w:w="2841" w:type="dxa"/>
            <w:vAlign w:val="center"/>
          </w:tcPr>
          <w:p>
            <w:pPr>
              <w:spacing w:line="440" w:lineRule="exact"/>
              <w:jc w:val="both"/>
              <w:rPr>
                <w:rFonts w:ascii="Times New Roman" w:hAnsi="Times New Roman" w:eastAsia="仿宋_GB2312" w:cs="Times New Roman"/>
                <w:b/>
                <w:sz w:val="30"/>
                <w:szCs w:val="30"/>
              </w:rPr>
            </w:pPr>
            <w:r>
              <w:rPr>
                <w:rFonts w:ascii="Times New Roman" w:hAnsi="Times New Roman" w:eastAsia="仿宋_GB2312" w:cs="Times New Roman"/>
                <w:b/>
                <w:sz w:val="30"/>
                <w:szCs w:val="30"/>
              </w:rPr>
              <w:t>绩效评价等级</w:t>
            </w:r>
          </w:p>
        </w:tc>
        <w:tc>
          <w:tcPr>
            <w:tcW w:w="4487" w:type="dxa"/>
            <w:vAlign w:val="center"/>
          </w:tcPr>
          <w:p>
            <w:pPr>
              <w:spacing w:line="440" w:lineRule="exact"/>
              <w:jc w:val="both"/>
              <w:rPr>
                <w:rFonts w:ascii="Times New Roman" w:hAnsi="Times New Roman" w:eastAsia="仿宋_GB2312" w:cs="Times New Roman"/>
                <w:b/>
                <w:sz w:val="30"/>
                <w:szCs w:val="30"/>
              </w:rPr>
            </w:pPr>
            <w:r>
              <w:rPr>
                <w:rFonts w:ascii="Times New Roman" w:hAnsi="Times New Roman" w:eastAsia="仿宋_GB2312" w:cs="Times New Roman"/>
                <w:b/>
                <w:sz w:val="30"/>
                <w:szCs w:val="30"/>
              </w:rPr>
              <w:t>对应分数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vAlign w:val="center"/>
          </w:tcPr>
          <w:p>
            <w:pPr>
              <w:spacing w:line="440" w:lineRule="exact"/>
              <w:jc w:val="both"/>
              <w:rPr>
                <w:rFonts w:ascii="Times New Roman" w:hAnsi="Times New Roman" w:eastAsia="仿宋_GB2312" w:cs="Times New Roman"/>
                <w:sz w:val="30"/>
                <w:szCs w:val="30"/>
              </w:rPr>
            </w:pPr>
            <w:r>
              <w:rPr>
                <w:rFonts w:ascii="Times New Roman" w:hAnsi="Times New Roman" w:eastAsia="仿宋_GB2312" w:cs="Times New Roman"/>
                <w:sz w:val="30"/>
                <w:szCs w:val="30"/>
              </w:rPr>
              <w:t>1</w:t>
            </w:r>
          </w:p>
        </w:tc>
        <w:tc>
          <w:tcPr>
            <w:tcW w:w="2841" w:type="dxa"/>
            <w:vAlign w:val="center"/>
          </w:tcPr>
          <w:p>
            <w:pPr>
              <w:spacing w:line="440" w:lineRule="exact"/>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rPr>
              <w:t>优</w:t>
            </w:r>
          </w:p>
        </w:tc>
        <w:tc>
          <w:tcPr>
            <w:tcW w:w="4487" w:type="dxa"/>
            <w:vAlign w:val="center"/>
          </w:tcPr>
          <w:p>
            <w:pPr>
              <w:spacing w:line="440" w:lineRule="exact"/>
              <w:jc w:val="both"/>
              <w:rPr>
                <w:rFonts w:ascii="Times New Roman" w:hAnsi="Times New Roman" w:eastAsia="仿宋_GB2312" w:cs="Times New Roman"/>
                <w:sz w:val="30"/>
                <w:szCs w:val="30"/>
              </w:rPr>
            </w:pPr>
            <w:r>
              <w:rPr>
                <w:rFonts w:ascii="Times New Roman" w:hAnsi="Times New Roman" w:eastAsia="仿宋_GB2312" w:cs="Times New Roman"/>
                <w:sz w:val="30"/>
                <w:szCs w:val="30"/>
              </w:rPr>
              <w:t>总分≥90分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vAlign w:val="center"/>
          </w:tcPr>
          <w:p>
            <w:pPr>
              <w:spacing w:line="440" w:lineRule="exact"/>
              <w:jc w:val="both"/>
              <w:rPr>
                <w:rFonts w:ascii="Times New Roman" w:hAnsi="Times New Roman" w:eastAsia="仿宋_GB2312" w:cs="Times New Roman"/>
                <w:sz w:val="30"/>
                <w:szCs w:val="30"/>
              </w:rPr>
            </w:pPr>
            <w:r>
              <w:rPr>
                <w:rFonts w:ascii="Times New Roman" w:hAnsi="Times New Roman" w:eastAsia="仿宋_GB2312" w:cs="Times New Roman"/>
                <w:sz w:val="30"/>
                <w:szCs w:val="30"/>
              </w:rPr>
              <w:t>2</w:t>
            </w:r>
          </w:p>
        </w:tc>
        <w:tc>
          <w:tcPr>
            <w:tcW w:w="2841" w:type="dxa"/>
            <w:vAlign w:val="center"/>
          </w:tcPr>
          <w:p>
            <w:pPr>
              <w:spacing w:line="440" w:lineRule="exact"/>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rPr>
              <w:t>良</w:t>
            </w:r>
          </w:p>
        </w:tc>
        <w:tc>
          <w:tcPr>
            <w:tcW w:w="4487" w:type="dxa"/>
            <w:vAlign w:val="center"/>
          </w:tcPr>
          <w:p>
            <w:pPr>
              <w:spacing w:line="440" w:lineRule="exact"/>
              <w:jc w:val="both"/>
              <w:rPr>
                <w:rFonts w:ascii="Times New Roman" w:hAnsi="Times New Roman" w:eastAsia="仿宋_GB2312" w:cs="Times New Roman"/>
                <w:sz w:val="30"/>
                <w:szCs w:val="30"/>
              </w:rPr>
            </w:pPr>
            <w:r>
              <w:rPr>
                <w:rFonts w:ascii="Times New Roman" w:hAnsi="Times New Roman" w:eastAsia="仿宋_GB2312" w:cs="Times New Roman"/>
                <w:sz w:val="30"/>
                <w:szCs w:val="30"/>
                <w:lang w:eastAsia="zh-CN"/>
              </w:rPr>
              <w:t>80</w:t>
            </w:r>
            <w:r>
              <w:rPr>
                <w:rFonts w:ascii="Times New Roman" w:hAnsi="Times New Roman" w:eastAsia="仿宋_GB2312" w:cs="Times New Roman"/>
                <w:sz w:val="30"/>
                <w:szCs w:val="30"/>
              </w:rPr>
              <w:t>分≤总分＜90分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vAlign w:val="center"/>
          </w:tcPr>
          <w:p>
            <w:pPr>
              <w:spacing w:line="440" w:lineRule="exact"/>
              <w:jc w:val="both"/>
              <w:rPr>
                <w:rFonts w:ascii="Times New Roman" w:hAnsi="Times New Roman" w:eastAsia="仿宋_GB2312" w:cs="Times New Roman"/>
                <w:sz w:val="30"/>
                <w:szCs w:val="30"/>
              </w:rPr>
            </w:pPr>
            <w:r>
              <w:rPr>
                <w:rFonts w:ascii="Times New Roman" w:hAnsi="Times New Roman" w:eastAsia="仿宋_GB2312" w:cs="Times New Roman"/>
                <w:sz w:val="30"/>
                <w:szCs w:val="30"/>
              </w:rPr>
              <w:t>3</w:t>
            </w:r>
          </w:p>
        </w:tc>
        <w:tc>
          <w:tcPr>
            <w:tcW w:w="2841" w:type="dxa"/>
            <w:vAlign w:val="center"/>
          </w:tcPr>
          <w:p>
            <w:pPr>
              <w:spacing w:line="440" w:lineRule="exact"/>
              <w:jc w:val="both"/>
              <w:rPr>
                <w:rFonts w:ascii="Times New Roman" w:hAnsi="Times New Roman" w:eastAsia="仿宋_GB2312" w:cs="Times New Roman"/>
                <w:sz w:val="30"/>
                <w:szCs w:val="30"/>
              </w:rPr>
            </w:pPr>
            <w:r>
              <w:rPr>
                <w:rFonts w:ascii="Times New Roman" w:hAnsi="Times New Roman" w:eastAsia="仿宋_GB2312" w:cs="Times New Roman"/>
                <w:sz w:val="30"/>
                <w:szCs w:val="30"/>
                <w:lang w:eastAsia="zh-CN"/>
              </w:rPr>
              <w:t>中</w:t>
            </w:r>
          </w:p>
        </w:tc>
        <w:tc>
          <w:tcPr>
            <w:tcW w:w="4487" w:type="dxa"/>
            <w:vAlign w:val="center"/>
          </w:tcPr>
          <w:p>
            <w:pPr>
              <w:spacing w:line="440" w:lineRule="exact"/>
              <w:jc w:val="both"/>
              <w:rPr>
                <w:rFonts w:ascii="Times New Roman" w:hAnsi="Times New Roman" w:eastAsia="仿宋_GB2312" w:cs="Times New Roman"/>
                <w:sz w:val="30"/>
                <w:szCs w:val="30"/>
              </w:rPr>
            </w:pPr>
            <w:r>
              <w:rPr>
                <w:rFonts w:ascii="Times New Roman" w:hAnsi="Times New Roman" w:eastAsia="仿宋_GB2312" w:cs="Times New Roman"/>
                <w:sz w:val="30"/>
                <w:szCs w:val="30"/>
              </w:rPr>
              <w:t>60分≤总分＜</w:t>
            </w:r>
            <w:r>
              <w:rPr>
                <w:rFonts w:ascii="Times New Roman" w:hAnsi="Times New Roman" w:eastAsia="仿宋_GB2312" w:cs="Times New Roman"/>
                <w:sz w:val="30"/>
                <w:szCs w:val="30"/>
                <w:lang w:eastAsia="zh-CN"/>
              </w:rPr>
              <w:t>80</w:t>
            </w:r>
            <w:r>
              <w:rPr>
                <w:rFonts w:ascii="Times New Roman" w:hAnsi="Times New Roman" w:eastAsia="仿宋_GB2312" w:cs="Times New Roman"/>
                <w:sz w:val="30"/>
                <w:szCs w:val="30"/>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vAlign w:val="center"/>
          </w:tcPr>
          <w:p>
            <w:pPr>
              <w:spacing w:line="440" w:lineRule="exact"/>
              <w:jc w:val="both"/>
              <w:rPr>
                <w:rFonts w:ascii="Times New Roman" w:hAnsi="Times New Roman" w:eastAsia="仿宋_GB2312" w:cs="Times New Roman"/>
                <w:sz w:val="30"/>
                <w:szCs w:val="30"/>
              </w:rPr>
            </w:pPr>
            <w:r>
              <w:rPr>
                <w:rFonts w:ascii="Times New Roman" w:hAnsi="Times New Roman" w:eastAsia="仿宋_GB2312" w:cs="Times New Roman"/>
                <w:sz w:val="30"/>
                <w:szCs w:val="30"/>
              </w:rPr>
              <w:t>4</w:t>
            </w:r>
          </w:p>
        </w:tc>
        <w:tc>
          <w:tcPr>
            <w:tcW w:w="2841" w:type="dxa"/>
            <w:vAlign w:val="center"/>
          </w:tcPr>
          <w:p>
            <w:pPr>
              <w:spacing w:line="440" w:lineRule="exact"/>
              <w:jc w:val="both"/>
              <w:rPr>
                <w:rFonts w:ascii="Times New Roman" w:hAnsi="Times New Roman" w:eastAsia="仿宋_GB2312" w:cs="Times New Roman"/>
                <w:sz w:val="30"/>
                <w:szCs w:val="30"/>
              </w:rPr>
            </w:pPr>
            <w:r>
              <w:rPr>
                <w:rFonts w:ascii="Times New Roman" w:hAnsi="Times New Roman" w:eastAsia="仿宋_GB2312" w:cs="Times New Roman"/>
                <w:sz w:val="30"/>
                <w:szCs w:val="30"/>
              </w:rPr>
              <w:t>差</w:t>
            </w:r>
          </w:p>
        </w:tc>
        <w:tc>
          <w:tcPr>
            <w:tcW w:w="4487" w:type="dxa"/>
            <w:vAlign w:val="center"/>
          </w:tcPr>
          <w:p>
            <w:pPr>
              <w:spacing w:line="440" w:lineRule="exact"/>
              <w:jc w:val="both"/>
              <w:rPr>
                <w:rFonts w:ascii="Times New Roman" w:hAnsi="Times New Roman" w:eastAsia="仿宋_GB2312" w:cs="Times New Roman"/>
                <w:sz w:val="30"/>
                <w:szCs w:val="30"/>
              </w:rPr>
            </w:pPr>
            <w:r>
              <w:rPr>
                <w:rFonts w:ascii="Times New Roman" w:hAnsi="Times New Roman" w:eastAsia="仿宋_GB2312" w:cs="Times New Roman"/>
                <w:sz w:val="30"/>
                <w:szCs w:val="30"/>
              </w:rPr>
              <w:t>60分以下</w:t>
            </w:r>
          </w:p>
        </w:tc>
      </w:tr>
    </w:tbl>
    <w:p>
      <w:pPr>
        <w:spacing w:line="600" w:lineRule="exact"/>
        <w:ind w:firstLine="656" w:firstLineChars="200"/>
        <w:jc w:val="both"/>
        <w:rPr>
          <w:rFonts w:ascii="Times New Roman" w:hAnsi="Times New Roman" w:eastAsia="黑体" w:cs="Times New Roman"/>
          <w:spacing w:val="-4"/>
          <w:w w:val="105"/>
          <w:sz w:val="32"/>
          <w:szCs w:val="32"/>
          <w:lang w:eastAsia="zh-CN"/>
        </w:rPr>
      </w:pPr>
    </w:p>
    <w:p>
      <w:pPr>
        <w:spacing w:line="300" w:lineRule="auto"/>
        <w:jc w:val="both"/>
        <w:outlineLvl w:val="1"/>
        <w:rPr>
          <w:rFonts w:ascii="Times New Roman" w:hAnsi="Times New Roman" w:eastAsia="仿宋_GB2312" w:cs="Times New Roman"/>
          <w:b/>
          <w:sz w:val="32"/>
          <w:szCs w:val="32"/>
          <w:lang w:eastAsia="zh-CN"/>
        </w:rPr>
      </w:pPr>
      <w:bookmarkStart w:id="46" w:name="_Toc460413896"/>
      <w:bookmarkStart w:id="47" w:name="_Toc112070430"/>
      <w:r>
        <w:rPr>
          <w:rFonts w:ascii="Times New Roman" w:hAnsi="Times New Roman" w:eastAsia="仿宋_GB2312" w:cs="Times New Roman"/>
          <w:b/>
          <w:sz w:val="32"/>
          <w:szCs w:val="32"/>
          <w:lang w:eastAsia="zh-CN"/>
        </w:rPr>
        <w:t>（二）主要评价结论</w:t>
      </w:r>
      <w:bookmarkEnd w:id="46"/>
      <w:bookmarkEnd w:id="47"/>
    </w:p>
    <w:p>
      <w:pPr>
        <w:spacing w:line="300" w:lineRule="auto"/>
        <w:jc w:val="both"/>
        <w:outlineLvl w:val="2"/>
        <w:rPr>
          <w:rFonts w:ascii="Times New Roman" w:hAnsi="Times New Roman" w:eastAsia="仿宋_GB2312" w:cs="Times New Roman"/>
          <w:b/>
          <w:sz w:val="32"/>
          <w:szCs w:val="32"/>
          <w:lang w:eastAsia="zh-CN"/>
        </w:rPr>
      </w:pPr>
      <w:bookmarkStart w:id="48" w:name="_Toc83563126"/>
      <w:bookmarkStart w:id="49" w:name="_Toc460413897"/>
      <w:bookmarkStart w:id="50" w:name="_Toc63706261"/>
      <w:bookmarkStart w:id="51" w:name="_Toc107933398"/>
      <w:r>
        <w:rPr>
          <w:rFonts w:ascii="Times New Roman" w:hAnsi="Times New Roman" w:eastAsia="仿宋_GB2312" w:cs="Times New Roman"/>
          <w:b/>
          <w:sz w:val="32"/>
          <w:szCs w:val="32"/>
          <w:lang w:eastAsia="zh-CN"/>
        </w:rPr>
        <w:t>1.项目</w:t>
      </w:r>
      <w:r>
        <w:rPr>
          <w:rFonts w:hint="eastAsia" w:ascii="Times New Roman" w:hAnsi="Times New Roman" w:eastAsia="仿宋_GB2312" w:cs="Times New Roman"/>
          <w:b/>
          <w:sz w:val="32"/>
          <w:szCs w:val="32"/>
          <w:lang w:eastAsia="zh-CN"/>
        </w:rPr>
        <w:t>决策</w:t>
      </w:r>
      <w:r>
        <w:rPr>
          <w:rFonts w:ascii="Times New Roman" w:hAnsi="Times New Roman" w:eastAsia="仿宋_GB2312" w:cs="Times New Roman"/>
          <w:b/>
          <w:sz w:val="32"/>
          <w:szCs w:val="32"/>
          <w:lang w:eastAsia="zh-CN"/>
        </w:rPr>
        <w:t>评价结论</w:t>
      </w:r>
      <w:bookmarkEnd w:id="48"/>
      <w:bookmarkEnd w:id="49"/>
      <w:bookmarkEnd w:id="50"/>
      <w:bookmarkEnd w:id="51"/>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w:t>
      </w:r>
      <w:r>
        <w:rPr>
          <w:rFonts w:ascii="Times New Roman" w:hAnsi="Times New Roman" w:eastAsia="仿宋_GB2312" w:cs="Times New Roman"/>
          <w:sz w:val="32"/>
          <w:szCs w:val="32"/>
          <w:lang w:eastAsia="zh-CN"/>
        </w:rPr>
        <w:t>项目立项符合国家法律法规、行业发展规划和政策要求，与部门职责范围相符，</w:t>
      </w:r>
      <w:r>
        <w:rPr>
          <w:rFonts w:hint="eastAsia" w:ascii="Times New Roman" w:hAnsi="Times New Roman" w:eastAsia="仿宋_GB2312" w:cs="Times New Roman"/>
          <w:sz w:val="32"/>
          <w:szCs w:val="32"/>
          <w:lang w:eastAsia="zh-CN"/>
        </w:rPr>
        <w:t>并按照规定的程序申请设立，审批文件符合相关要求，经过了必要的集体决策。</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本项目设定了绩效目标，且与实际工作内容具有较强的相关性，与预算确定的项目投资额或资金量相匹配，均已细化为三级指标，指标表述清晰明确，可度量。</w:t>
      </w:r>
    </w:p>
    <w:p>
      <w:pPr>
        <w:spacing w:line="300" w:lineRule="auto"/>
        <w:ind w:firstLine="640" w:firstLineChars="200"/>
        <w:jc w:val="both"/>
        <w:rPr>
          <w:rFonts w:ascii="Times New Roman" w:hAnsi="Times New Roman" w:eastAsia="黑体" w:cs="Times New Roman"/>
          <w:spacing w:val="-4"/>
          <w:w w:val="105"/>
          <w:sz w:val="32"/>
          <w:szCs w:val="32"/>
          <w:lang w:eastAsia="zh-CN"/>
        </w:rPr>
      </w:pPr>
      <w:r>
        <w:rPr>
          <w:rFonts w:hint="eastAsia" w:ascii="Times New Roman" w:hAnsi="Times New Roman" w:eastAsia="仿宋_GB2312" w:cs="Times New Roman"/>
          <w:sz w:val="32"/>
          <w:szCs w:val="32"/>
          <w:lang w:eastAsia="zh-CN"/>
        </w:rPr>
        <w:t>本项目的预算编制经过科学论证，预算内容基本与项目内容匹配，具备必要的测算依据。分配额度合理，在地方财政承受能力范围之内。</w:t>
      </w:r>
    </w:p>
    <w:p>
      <w:pPr>
        <w:spacing w:line="300" w:lineRule="auto"/>
        <w:jc w:val="both"/>
        <w:outlineLvl w:val="2"/>
        <w:rPr>
          <w:rFonts w:ascii="Times New Roman" w:hAnsi="Times New Roman" w:eastAsia="仿宋_GB2312" w:cs="Times New Roman"/>
          <w:b/>
          <w:sz w:val="32"/>
          <w:szCs w:val="32"/>
          <w:lang w:eastAsia="zh-CN"/>
        </w:rPr>
      </w:pPr>
      <w:bookmarkStart w:id="52" w:name="_Toc63706262"/>
      <w:bookmarkStart w:id="53" w:name="_Toc460413898"/>
      <w:bookmarkStart w:id="54" w:name="_Toc107933399"/>
      <w:bookmarkStart w:id="55" w:name="_Toc83563127"/>
      <w:r>
        <w:rPr>
          <w:rFonts w:ascii="Times New Roman" w:hAnsi="Times New Roman" w:eastAsia="仿宋_GB2312" w:cs="Times New Roman"/>
          <w:b/>
          <w:sz w:val="32"/>
          <w:szCs w:val="32"/>
          <w:lang w:eastAsia="zh-CN"/>
        </w:rPr>
        <w:t>2.项目过程评价结论</w:t>
      </w:r>
      <w:bookmarkEnd w:id="52"/>
      <w:bookmarkEnd w:id="53"/>
      <w:bookmarkEnd w:id="54"/>
      <w:bookmarkEnd w:id="55"/>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本项目资金到位率为100%，预算执行率为</w:t>
      </w:r>
      <w:r>
        <w:rPr>
          <w:rFonts w:ascii="Times New Roman" w:hAnsi="Times New Roman" w:eastAsia="仿宋_GB2312" w:cs="Times New Roman"/>
          <w:sz w:val="32"/>
          <w:szCs w:val="32"/>
          <w:lang w:eastAsia="zh-CN"/>
        </w:rPr>
        <w:t>96.79%</w:t>
      </w:r>
      <w:r>
        <w:rPr>
          <w:rFonts w:hint="eastAsia" w:ascii="Times New Roman" w:hAnsi="Times New Roman" w:eastAsia="仿宋_GB2312" w:cs="Times New Roman"/>
          <w:sz w:val="32"/>
          <w:szCs w:val="32"/>
          <w:lang w:eastAsia="zh-CN"/>
        </w:rPr>
        <w:t>。预算资金</w:t>
      </w:r>
      <w:r>
        <w:rPr>
          <w:rFonts w:ascii="Times New Roman" w:hAnsi="Times New Roman" w:eastAsia="仿宋_GB2312" w:cs="Times New Roman"/>
          <w:sz w:val="32"/>
          <w:szCs w:val="32"/>
          <w:lang w:eastAsia="zh-CN"/>
        </w:rPr>
        <w:t>的使用符合国家财经法规和财务管理制度以及有关专项资金管理办法的规定，有完整的审批程序和手续</w:t>
      </w:r>
      <w:r>
        <w:rPr>
          <w:rFonts w:hint="eastAsia" w:ascii="Times New Roman" w:hAnsi="Times New Roman" w:eastAsia="仿宋_GB2312" w:cs="Times New Roman"/>
          <w:sz w:val="32"/>
          <w:szCs w:val="32"/>
          <w:lang w:eastAsia="zh-CN"/>
        </w:rPr>
        <w:t>，符合项目的预算批复或合同规定的用途，不存在截留、挤占、挪用、虚列支出等情况。</w:t>
      </w:r>
    </w:p>
    <w:p>
      <w:pPr>
        <w:spacing w:line="300" w:lineRule="auto"/>
        <w:ind w:firstLine="640" w:firstLineChars="200"/>
        <w:jc w:val="both"/>
        <w:rPr>
          <w:rFonts w:ascii="Times New Roman" w:hAnsi="Times New Roman" w:eastAsia="黑体" w:cs="Times New Roman"/>
          <w:spacing w:val="-4"/>
          <w:w w:val="105"/>
          <w:sz w:val="32"/>
          <w:szCs w:val="32"/>
          <w:lang w:eastAsia="zh-CN"/>
        </w:rPr>
      </w:pPr>
      <w:r>
        <w:rPr>
          <w:rFonts w:hint="eastAsia" w:ascii="Times New Roman" w:hAnsi="Times New Roman" w:eastAsia="仿宋_GB2312" w:cs="Times New Roman"/>
          <w:sz w:val="32"/>
          <w:szCs w:val="32"/>
          <w:lang w:eastAsia="zh-CN"/>
        </w:rPr>
        <w:t>本项目签订了各类服务委托合同、各项目验收报告齐全。项目的实施人员条件、场地设备、信息支撑等基本落实到位。财务管理制度合法、合规、完整。但缺少相应的业务管理制度。</w:t>
      </w:r>
    </w:p>
    <w:p>
      <w:pPr>
        <w:spacing w:line="300" w:lineRule="auto"/>
        <w:jc w:val="both"/>
        <w:outlineLvl w:val="2"/>
        <w:rPr>
          <w:rFonts w:ascii="Times New Roman" w:hAnsi="Times New Roman" w:eastAsia="仿宋_GB2312" w:cs="Times New Roman"/>
          <w:b/>
          <w:sz w:val="32"/>
          <w:szCs w:val="32"/>
          <w:lang w:eastAsia="zh-CN"/>
        </w:rPr>
      </w:pPr>
      <w:bookmarkStart w:id="56" w:name="_Toc83563128"/>
      <w:bookmarkStart w:id="57" w:name="_Toc460413899"/>
      <w:bookmarkStart w:id="58" w:name="_Toc63706263"/>
      <w:bookmarkStart w:id="59" w:name="_Toc107933400"/>
      <w:r>
        <w:rPr>
          <w:rFonts w:ascii="Times New Roman" w:hAnsi="Times New Roman" w:eastAsia="仿宋_GB2312" w:cs="Times New Roman"/>
          <w:b/>
          <w:sz w:val="32"/>
          <w:szCs w:val="32"/>
          <w:lang w:eastAsia="zh-CN"/>
        </w:rPr>
        <w:t>3.项目产出评价结论</w:t>
      </w:r>
      <w:bookmarkEnd w:id="56"/>
      <w:bookmarkEnd w:id="57"/>
      <w:bookmarkEnd w:id="58"/>
      <w:bookmarkEnd w:id="59"/>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经查阅项目合同和验收报告，各项产出指标均已满足合同规定的服务内容。成本偏差率为</w:t>
      </w:r>
      <w:r>
        <w:rPr>
          <w:rFonts w:ascii="Times New Roman" w:hAnsi="Times New Roman" w:eastAsia="仿宋_GB2312" w:cs="Times New Roman"/>
          <w:sz w:val="32"/>
          <w:szCs w:val="32"/>
          <w:lang w:eastAsia="zh-CN"/>
        </w:rPr>
        <w:t>-3.21%</w:t>
      </w:r>
      <w:r>
        <w:rPr>
          <w:rFonts w:hint="eastAsia" w:ascii="Times New Roman" w:hAnsi="Times New Roman" w:eastAsia="仿宋_GB2312" w:cs="Times New Roman"/>
          <w:sz w:val="32"/>
          <w:szCs w:val="32"/>
          <w:lang w:eastAsia="zh-CN"/>
        </w:rPr>
        <w:t>，进度偏差率为0。</w:t>
      </w:r>
    </w:p>
    <w:p>
      <w:pPr>
        <w:spacing w:line="300" w:lineRule="auto"/>
        <w:jc w:val="both"/>
        <w:outlineLvl w:val="2"/>
        <w:rPr>
          <w:rFonts w:ascii="Times New Roman" w:hAnsi="Times New Roman" w:eastAsia="仿宋_GB2312" w:cs="Times New Roman"/>
          <w:b/>
          <w:sz w:val="32"/>
          <w:szCs w:val="32"/>
          <w:lang w:eastAsia="zh-CN"/>
        </w:rPr>
      </w:pPr>
      <w:bookmarkStart w:id="60" w:name="_Toc460413900"/>
      <w:bookmarkStart w:id="61" w:name="_Toc63706264"/>
      <w:bookmarkStart w:id="62" w:name="_Toc107933401"/>
      <w:bookmarkStart w:id="63" w:name="_Toc83563129"/>
      <w:r>
        <w:rPr>
          <w:rFonts w:ascii="Times New Roman" w:hAnsi="Times New Roman" w:eastAsia="仿宋_GB2312" w:cs="Times New Roman"/>
          <w:b/>
          <w:sz w:val="32"/>
          <w:szCs w:val="32"/>
          <w:lang w:eastAsia="zh-CN"/>
        </w:rPr>
        <w:t>4.项目</w:t>
      </w:r>
      <w:r>
        <w:rPr>
          <w:rFonts w:hint="eastAsia" w:ascii="Times New Roman" w:hAnsi="Times New Roman" w:eastAsia="仿宋_GB2312" w:cs="Times New Roman"/>
          <w:b/>
          <w:sz w:val="32"/>
          <w:szCs w:val="32"/>
          <w:lang w:eastAsia="zh-CN"/>
        </w:rPr>
        <w:t>效益</w:t>
      </w:r>
      <w:r>
        <w:rPr>
          <w:rFonts w:ascii="Times New Roman" w:hAnsi="Times New Roman" w:eastAsia="仿宋_GB2312" w:cs="Times New Roman"/>
          <w:b/>
          <w:sz w:val="32"/>
          <w:szCs w:val="32"/>
          <w:lang w:eastAsia="zh-CN"/>
        </w:rPr>
        <w:t>评价结论</w:t>
      </w:r>
      <w:bookmarkEnd w:id="60"/>
      <w:bookmarkEnd w:id="61"/>
      <w:bookmarkEnd w:id="62"/>
      <w:bookmarkEnd w:id="63"/>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本项目的实施可以产生良好的社会效益和可持续影响效益，通过问卷访谈的形式对项目实施单位的满意度情况进行调查并打分，本项目服务对象满意度为100%。</w:t>
      </w:r>
    </w:p>
    <w:p>
      <w:pPr>
        <w:spacing w:line="300" w:lineRule="auto"/>
        <w:jc w:val="both"/>
        <w:outlineLvl w:val="2"/>
        <w:rPr>
          <w:rFonts w:ascii="Times New Roman" w:hAnsi="Times New Roman" w:eastAsia="仿宋_GB2312" w:cs="Times New Roman"/>
          <w:b/>
          <w:sz w:val="32"/>
          <w:szCs w:val="32"/>
          <w:lang w:eastAsia="zh-CN"/>
        </w:rPr>
      </w:pPr>
      <w:bookmarkStart w:id="64" w:name="_Toc83563130"/>
      <w:bookmarkStart w:id="65" w:name="_Toc63706265"/>
      <w:bookmarkStart w:id="66" w:name="_Toc107933402"/>
      <w:r>
        <w:rPr>
          <w:rFonts w:hint="eastAsia" w:ascii="Times New Roman" w:hAnsi="Times New Roman" w:eastAsia="仿宋_GB2312" w:cs="Times New Roman"/>
          <w:b/>
          <w:sz w:val="32"/>
          <w:szCs w:val="32"/>
          <w:lang w:eastAsia="zh-CN"/>
        </w:rPr>
        <w:t>5</w:t>
      </w:r>
      <w:r>
        <w:rPr>
          <w:rFonts w:ascii="Times New Roman" w:hAnsi="Times New Roman" w:eastAsia="仿宋_GB2312" w:cs="Times New Roman"/>
          <w:b/>
          <w:sz w:val="32"/>
          <w:szCs w:val="32"/>
          <w:lang w:eastAsia="zh-CN"/>
        </w:rPr>
        <w:t>.项目</w:t>
      </w:r>
      <w:r>
        <w:rPr>
          <w:rFonts w:hint="eastAsia" w:ascii="Times New Roman" w:hAnsi="Times New Roman" w:eastAsia="仿宋_GB2312" w:cs="Times New Roman"/>
          <w:b/>
          <w:sz w:val="32"/>
          <w:szCs w:val="32"/>
          <w:lang w:eastAsia="zh-CN"/>
        </w:rPr>
        <w:t>自评情况</w:t>
      </w:r>
      <w:r>
        <w:rPr>
          <w:rFonts w:ascii="Times New Roman" w:hAnsi="Times New Roman" w:eastAsia="仿宋_GB2312" w:cs="Times New Roman"/>
          <w:b/>
          <w:sz w:val="32"/>
          <w:szCs w:val="32"/>
          <w:lang w:eastAsia="zh-CN"/>
        </w:rPr>
        <w:t>结论</w:t>
      </w:r>
      <w:bookmarkEnd w:id="64"/>
      <w:bookmarkEnd w:id="65"/>
      <w:bookmarkEnd w:id="66"/>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项目实施单位按照规定报送了绩效自评表及绩效自评报告，报告撰写、填写质量基本满足要求。</w:t>
      </w:r>
      <w:r>
        <w:rPr>
          <w:rFonts w:ascii="Times New Roman" w:hAnsi="Times New Roman" w:eastAsia="仿宋_GB2312" w:cs="Times New Roman"/>
          <w:sz w:val="32"/>
          <w:szCs w:val="32"/>
          <w:lang w:eastAsia="zh-CN"/>
        </w:rPr>
        <w:t xml:space="preserve"> </w:t>
      </w:r>
    </w:p>
    <w:p>
      <w:pPr>
        <w:spacing w:line="600" w:lineRule="exact"/>
        <w:ind w:firstLine="656" w:firstLineChars="200"/>
        <w:jc w:val="both"/>
        <w:rPr>
          <w:rFonts w:ascii="Times New Roman" w:hAnsi="Times New Roman" w:eastAsia="黑体" w:cs="Times New Roman"/>
          <w:spacing w:val="-4"/>
          <w:w w:val="105"/>
          <w:sz w:val="32"/>
          <w:szCs w:val="32"/>
          <w:lang w:eastAsia="zh-CN"/>
        </w:rPr>
        <w:sectPr>
          <w:pgSz w:w="11906" w:h="16838"/>
          <w:pgMar w:top="1440" w:right="1800" w:bottom="1440" w:left="1800" w:header="851" w:footer="992" w:gutter="0"/>
          <w:cols w:space="425" w:num="1"/>
          <w:docGrid w:type="lines" w:linePitch="312" w:charSpace="0"/>
        </w:sectPr>
      </w:pPr>
    </w:p>
    <w:p>
      <w:pPr>
        <w:spacing w:line="300" w:lineRule="auto"/>
        <w:jc w:val="center"/>
        <w:outlineLvl w:val="0"/>
        <w:rPr>
          <w:rFonts w:ascii="Times New Roman" w:hAnsi="Times New Roman" w:eastAsia="黑体" w:cs="Times New Roman"/>
          <w:spacing w:val="-4"/>
          <w:w w:val="105"/>
          <w:sz w:val="32"/>
          <w:szCs w:val="32"/>
          <w:lang w:eastAsia="zh-CN"/>
        </w:rPr>
      </w:pPr>
      <w:bookmarkStart w:id="67" w:name="_Toc112070431"/>
      <w:r>
        <w:rPr>
          <w:rFonts w:ascii="Times New Roman" w:hAnsi="Times New Roman" w:eastAsia="黑体" w:cs="Times New Roman"/>
          <w:spacing w:val="-4"/>
          <w:w w:val="105"/>
          <w:sz w:val="32"/>
          <w:szCs w:val="32"/>
          <w:lang w:eastAsia="zh-CN"/>
        </w:rPr>
        <w:t>四、绩效评价指标分析</w:t>
      </w:r>
      <w:bookmarkEnd w:id="67"/>
    </w:p>
    <w:p>
      <w:pPr>
        <w:spacing w:line="300" w:lineRule="auto"/>
        <w:jc w:val="both"/>
        <w:outlineLvl w:val="1"/>
        <w:rPr>
          <w:rFonts w:ascii="Times New Roman" w:hAnsi="Times New Roman" w:eastAsia="仿宋_GB2312" w:cs="Times New Roman"/>
          <w:b/>
          <w:sz w:val="32"/>
          <w:szCs w:val="32"/>
          <w:lang w:eastAsia="zh-CN"/>
        </w:rPr>
      </w:pPr>
      <w:bookmarkStart w:id="68" w:name="_Toc112070432"/>
      <w:r>
        <w:rPr>
          <w:rFonts w:ascii="Times New Roman" w:hAnsi="Times New Roman" w:eastAsia="仿宋_GB2312" w:cs="Times New Roman"/>
          <w:b/>
          <w:sz w:val="32"/>
          <w:szCs w:val="32"/>
          <w:lang w:eastAsia="zh-CN"/>
        </w:rPr>
        <w:t>（一）项目决策情况</w:t>
      </w:r>
      <w:bookmarkEnd w:id="68"/>
    </w:p>
    <w:p>
      <w:pPr>
        <w:spacing w:line="300" w:lineRule="auto"/>
        <w:jc w:val="both"/>
        <w:outlineLvl w:val="2"/>
        <w:rPr>
          <w:rFonts w:ascii="Times New Roman" w:hAnsi="Times New Roman" w:eastAsia="仿宋_GB2312" w:cs="Times New Roman"/>
          <w:b/>
          <w:sz w:val="32"/>
          <w:szCs w:val="32"/>
          <w:lang w:eastAsia="zh-CN"/>
        </w:rPr>
      </w:pPr>
      <w:bookmarkStart w:id="69" w:name="_Toc373310206"/>
      <w:bookmarkStart w:id="70" w:name="_Toc405796691"/>
      <w:bookmarkStart w:id="71" w:name="_Toc83563133"/>
      <w:bookmarkStart w:id="72" w:name="_Toc107933405"/>
      <w:bookmarkStart w:id="73" w:name="_Toc63706268"/>
      <w:r>
        <w:rPr>
          <w:rFonts w:ascii="Times New Roman" w:hAnsi="Times New Roman" w:eastAsia="仿宋_GB2312" w:cs="Times New Roman"/>
          <w:b/>
          <w:sz w:val="32"/>
          <w:szCs w:val="32"/>
          <w:lang w:eastAsia="zh-CN"/>
        </w:rPr>
        <w:t>1.</w:t>
      </w:r>
      <w:bookmarkEnd w:id="69"/>
      <w:bookmarkEnd w:id="70"/>
      <w:r>
        <w:rPr>
          <w:rFonts w:ascii="Times New Roman" w:hAnsi="Times New Roman" w:eastAsia="仿宋_GB2312" w:cs="Times New Roman"/>
          <w:b/>
          <w:sz w:val="32"/>
          <w:szCs w:val="32"/>
          <w:lang w:eastAsia="zh-CN"/>
        </w:rPr>
        <w:t>立项依据充分性</w:t>
      </w:r>
      <w:bookmarkEnd w:id="71"/>
      <w:bookmarkEnd w:id="72"/>
      <w:bookmarkEnd w:id="73"/>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1）本项目的实施加强对产品质量的监督管理，提高产品质量水平，明确产品质量责任，保护消费者的合法权益，维护社会经济秩序，符合《中华人民共和国产品质量法》的要求。</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食品安全关系人民群众身体健康和生命安全，关系中华民族未来。党的十九大报告明确提出实施食品安全战略，让人民吃得放心。这是党中央着眼党和国家事业全局，对食品安全工作作出的重大部署，是决胜全面建成小康社会、全面建设社会主义现代化国家的重大任务。符合《中共中央 国务院关于深化改革加强食品安全工作的意见》。本项目的立项符合国家法律法规及相关的政策要求。</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根据《关于印发&lt;2021年天津市滨海新区流通领域产品质量监督抽查工作计划&gt;的通知》（津滨市场监管质监[2021]9号）文件要求，对2021年滨海新区以国家市场监管总局、市市场监管委安排部署抽查的产品，涉及环境保护重要指标的产品，与群众日常生活密切相关、消费量大的产品、消费者投诉举报比较集中、近年来抽查合格率较低的产品以及与考核指标、专项检查等相关的其他类产品为重点，有计划有步骤地开展流通领域产品质量监督抽查工作。</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根据关于印发</w:t>
      </w:r>
      <w:r>
        <w:rPr>
          <w:rFonts w:hint="eastAsia" w:ascii="Times New Roman" w:hAnsi="Times New Roman" w:eastAsia="仿宋_GB2312" w:cs="Times New Roman"/>
          <w:sz w:val="32"/>
          <w:szCs w:val="32"/>
          <w:lang w:eastAsia="zh-CN"/>
        </w:rPr>
        <w:t>《滨海新区市场监督管理局落实&lt;天津市撤销冒用他人身份信息取得公司登记工作操作规程&gt;的指导意见</w:t>
      </w:r>
      <w:r>
        <w:rPr>
          <w:rFonts w:ascii="Times New Roman" w:hAnsi="Times New Roman" w:eastAsia="仿宋_GB2312" w:cs="Times New Roman"/>
          <w:sz w:val="32"/>
          <w:szCs w:val="32"/>
          <w:lang w:eastAsia="zh-CN"/>
        </w:rPr>
        <w:t>》（津滨市场监管政服</w:t>
      </w:r>
      <w:r>
        <w:rPr>
          <w:rFonts w:hint="eastAsia" w:ascii="Times New Roman" w:hAnsi="Times New Roman" w:eastAsia="仿宋_GB2312" w:cs="Times New Roman"/>
          <w:sz w:val="32"/>
          <w:szCs w:val="32"/>
          <w:lang w:eastAsia="zh-CN"/>
        </w:rPr>
        <w:t>[2019]111号</w:t>
      </w:r>
      <w:r>
        <w:rPr>
          <w:rFonts w:ascii="Times New Roman" w:hAnsi="Times New Roman" w:eastAsia="仿宋_GB2312" w:cs="Times New Roman"/>
          <w:sz w:val="32"/>
          <w:szCs w:val="32"/>
          <w:lang w:eastAsia="zh-CN"/>
        </w:rPr>
        <w:t>），文中规定</w:t>
      </w:r>
      <w:r>
        <w:rPr>
          <w:rFonts w:hint="eastAsia" w:ascii="Times New Roman" w:hAnsi="Times New Roman" w:eastAsia="仿宋_GB2312" w:cs="Times New Roman"/>
          <w:sz w:val="32"/>
          <w:szCs w:val="32"/>
          <w:lang w:eastAsia="zh-CN"/>
        </w:rPr>
        <w:t>各市场监管所负责信用监管工作的部门负责撤销冒名登记工作的信息公示、撤销文书送达、答复申请人、档案归档等工作；负责执法办案工作的部门负责受理撤销冒名登记申请、调查取证、征询相关部门意见、出具调查终结报告、提请审查等工作。</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根据《区市场监管局 区政务服务办关于印发&lt;部分园区转供电不合理加价专项整治工作方案&gt;的通知》（津滨市场监管价格[2021]5号）在全面排查的基础上，组织开展部分园区转供电不合理加价专项检查工作。</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本项目的立项符合国家、天津市以及滨海新区相关法律法规的要求。</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根据《天津东疆保税港区市场监督管理局（行政审批局、政务服务办公室、营商环境办公室）“三定”方案》，市场监督管理局为天津东疆保税港区法定机构内设部门，负责区域市场综合监督管理；负责区域市场主体统一登记注册工作；负责区域市场监管综合执法工作；负责监督管理区域市场秩序；负责区域专利、商标的保护和执法工作，推进企业实施知识产权战略；拟定并组织实施区域质量发展的制度措施，会同有关部门组织重大质量事故调查，组织实施缺陷产品召回制度，监督管理产品防伪工作；负责产品质量安全监督管理工作。本项目立项与项目实施单位部门职责范围相符，属于部门履职需要。</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根据《国务院办公厅关于印发基本公共服务领域中央与地方共同财政事权和支出责任划分改革方案的通知》（国办发[2018]6号），本项目不属于纳入中央与地方共同财政事权范围的八大类18项，因此应按照《国务院关于推进中央与地方财政事权和支出责任划分改革的指导意见》（国发[2016]49号）、《国务院关于印发 “十三五”推进基本公共服务均等化规划的通知》（国发[2017]9号），地方的财政事权由地方承担支出责任。属于地方的财政事权原则上由地方通过自有财力安排。天津市也发布了《天津市基本公共服务领域市与区共同财政事权和支出责任划分改革实施方案》（津政办发[2018]67号），将中央已明确的八大类18项基本公共服务领域中央与地方共同财政事权首先纳入市与区共同财政事权范围。本项目属于区级政府事权支出责任，符合中央、地方事权支出责任划分原则</w:t>
      </w:r>
      <w:r>
        <w:rPr>
          <w:rFonts w:ascii="Times New Roman" w:hAnsi="Times New Roman" w:eastAsia="仿宋_GB2312" w:cs="Times New Roman"/>
          <w:sz w:val="32"/>
          <w:szCs w:val="32"/>
          <w:lang w:eastAsia="zh-CN"/>
        </w:rPr>
        <w:t>。</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4）经与财政局确认，本项目与相关部门同类项目及项目实施单位内部相关项目不重复。</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本项目立项符合国家法律法规、行业发展规划和政策要求，与部门职责范围相符，属于部门履职所需</w:t>
      </w:r>
      <w:r>
        <w:rPr>
          <w:rFonts w:hint="eastAsia" w:ascii="Times New Roman" w:hAnsi="Times New Roman" w:eastAsia="仿宋_GB2312" w:cs="Times New Roman"/>
          <w:sz w:val="32"/>
          <w:szCs w:val="32"/>
          <w:lang w:eastAsia="zh-CN"/>
        </w:rPr>
        <w:t>，申请资金支持</w:t>
      </w:r>
      <w:r>
        <w:rPr>
          <w:rFonts w:ascii="Times New Roman" w:hAnsi="Times New Roman" w:eastAsia="仿宋_GB2312" w:cs="Times New Roman"/>
          <w:sz w:val="32"/>
          <w:szCs w:val="32"/>
          <w:lang w:eastAsia="zh-CN"/>
        </w:rPr>
        <w:t>属于公共财政支持范围，</w:t>
      </w:r>
      <w:r>
        <w:rPr>
          <w:rFonts w:hint="eastAsia" w:ascii="Times New Roman" w:hAnsi="Times New Roman" w:eastAsia="仿宋_GB2312" w:cs="Times New Roman"/>
          <w:sz w:val="32"/>
          <w:szCs w:val="32"/>
          <w:lang w:eastAsia="zh-CN"/>
        </w:rPr>
        <w:t>符合中央、地方事权支出责任划分原则，并未与部门内部相关项目重复，基本</w:t>
      </w:r>
      <w:r>
        <w:rPr>
          <w:rFonts w:ascii="Times New Roman" w:hAnsi="Times New Roman" w:eastAsia="仿宋_GB2312" w:cs="Times New Roman"/>
          <w:sz w:val="32"/>
          <w:szCs w:val="32"/>
          <w:lang w:eastAsia="zh-CN"/>
        </w:rPr>
        <w:t>符合评分标准要求</w:t>
      </w:r>
      <w:r>
        <w:rPr>
          <w:rFonts w:hint="eastAsia" w:ascii="Times New Roman" w:hAnsi="Times New Roman" w:eastAsia="仿宋_GB2312" w:cs="Times New Roman"/>
          <w:sz w:val="32"/>
          <w:szCs w:val="32"/>
          <w:lang w:eastAsia="zh-CN"/>
        </w:rPr>
        <w:t>。该项标准分值4分，实际得分为4分。</w:t>
      </w:r>
    </w:p>
    <w:p>
      <w:pPr>
        <w:spacing w:line="300" w:lineRule="auto"/>
        <w:jc w:val="both"/>
        <w:outlineLvl w:val="2"/>
        <w:rPr>
          <w:rFonts w:ascii="Times New Roman" w:hAnsi="Times New Roman" w:eastAsia="仿宋_GB2312" w:cs="Times New Roman"/>
          <w:b/>
          <w:sz w:val="32"/>
          <w:szCs w:val="32"/>
          <w:lang w:eastAsia="zh-CN"/>
        </w:rPr>
      </w:pPr>
      <w:bookmarkStart w:id="74" w:name="_Toc63706269"/>
      <w:bookmarkStart w:id="75" w:name="_Toc83563134"/>
      <w:bookmarkStart w:id="76" w:name="_Toc107933406"/>
      <w:r>
        <w:rPr>
          <w:rFonts w:ascii="Times New Roman" w:hAnsi="Times New Roman" w:eastAsia="仿宋_GB2312" w:cs="Times New Roman"/>
          <w:b/>
          <w:sz w:val="32"/>
          <w:szCs w:val="32"/>
          <w:lang w:eastAsia="zh-CN"/>
        </w:rPr>
        <w:t>2.立项程序规范性</w:t>
      </w:r>
      <w:bookmarkEnd w:id="74"/>
      <w:bookmarkEnd w:id="75"/>
      <w:bookmarkEnd w:id="76"/>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经管委会第六次主任会和第七次党委常委会审议，东疆保税港区市场监督管理局2021年部门预算经管委会集体决策后通过。</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2021年3月3日，东疆保税港区市场监督管理局2021年部门预算获得财政局的批复（津东疆财政预指[2021]10号），其中“市场监管业务”项目预算费用为2670000元。</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本项目按照规定的程序申请设立，审批文件符合相关要求</w:t>
      </w:r>
      <w:r>
        <w:rPr>
          <w:rFonts w:hint="eastAsia" w:ascii="Times New Roman" w:hAnsi="Times New Roman" w:eastAsia="仿宋_GB2312" w:cs="Times New Roman"/>
          <w:sz w:val="32"/>
          <w:szCs w:val="32"/>
          <w:lang w:eastAsia="zh-CN"/>
        </w:rPr>
        <w:t>，事前经过必要的集体决策，基本</w:t>
      </w:r>
      <w:r>
        <w:rPr>
          <w:rFonts w:ascii="Times New Roman" w:hAnsi="Times New Roman" w:eastAsia="仿宋_GB2312" w:cs="Times New Roman"/>
          <w:sz w:val="32"/>
          <w:szCs w:val="32"/>
          <w:lang w:eastAsia="zh-CN"/>
        </w:rPr>
        <w:t>符合评分标准要求</w:t>
      </w:r>
      <w:r>
        <w:rPr>
          <w:rFonts w:hint="eastAsia" w:ascii="Times New Roman" w:hAnsi="Times New Roman" w:eastAsia="仿宋_GB2312" w:cs="Times New Roman"/>
          <w:sz w:val="32"/>
          <w:szCs w:val="32"/>
          <w:lang w:eastAsia="zh-CN"/>
        </w:rPr>
        <w:t>。该项标准分值4分，实际得分为4分。</w:t>
      </w:r>
    </w:p>
    <w:p>
      <w:pPr>
        <w:spacing w:line="300" w:lineRule="auto"/>
        <w:jc w:val="both"/>
        <w:outlineLvl w:val="2"/>
        <w:rPr>
          <w:rFonts w:ascii="Times New Roman" w:hAnsi="Times New Roman" w:eastAsia="仿宋_GB2312" w:cs="Times New Roman"/>
          <w:b/>
          <w:sz w:val="32"/>
          <w:szCs w:val="32"/>
          <w:lang w:eastAsia="zh-CN"/>
        </w:rPr>
      </w:pPr>
      <w:bookmarkStart w:id="77" w:name="_Toc107933407"/>
      <w:bookmarkStart w:id="78" w:name="_Toc63706270"/>
      <w:bookmarkStart w:id="79" w:name="_Toc83563135"/>
      <w:r>
        <w:rPr>
          <w:rFonts w:ascii="Times New Roman" w:hAnsi="Times New Roman" w:eastAsia="仿宋_GB2312" w:cs="Times New Roman"/>
          <w:b/>
          <w:sz w:val="32"/>
          <w:szCs w:val="32"/>
          <w:lang w:eastAsia="zh-CN"/>
        </w:rPr>
        <w:t>3.绩效目标合理性</w:t>
      </w:r>
      <w:bookmarkEnd w:id="77"/>
      <w:bookmarkEnd w:id="78"/>
      <w:bookmarkEnd w:id="79"/>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w:t>
      </w:r>
      <w:r>
        <w:rPr>
          <w:rFonts w:ascii="Times New Roman" w:hAnsi="Times New Roman" w:eastAsia="仿宋_GB2312" w:cs="Times New Roman"/>
          <w:sz w:val="32"/>
          <w:szCs w:val="32"/>
          <w:lang w:eastAsia="zh-CN"/>
        </w:rPr>
        <w:t>本项目</w:t>
      </w:r>
      <w:r>
        <w:rPr>
          <w:rFonts w:hint="eastAsia" w:ascii="Times New Roman" w:hAnsi="Times New Roman" w:eastAsia="仿宋_GB2312" w:cs="Times New Roman"/>
          <w:sz w:val="32"/>
          <w:szCs w:val="32"/>
          <w:lang w:eastAsia="zh-CN"/>
        </w:rPr>
        <w:t>设定了</w:t>
      </w:r>
      <w:r>
        <w:rPr>
          <w:rFonts w:ascii="Times New Roman" w:hAnsi="Times New Roman" w:eastAsia="仿宋_GB2312" w:cs="Times New Roman"/>
          <w:sz w:val="32"/>
          <w:szCs w:val="32"/>
          <w:lang w:eastAsia="zh-CN"/>
        </w:rPr>
        <w:t>绩效目标，</w:t>
      </w:r>
      <w:r>
        <w:rPr>
          <w:rFonts w:hint="eastAsia" w:ascii="Times New Roman" w:hAnsi="Times New Roman" w:eastAsia="仿宋_GB2312" w:cs="Times New Roman"/>
          <w:sz w:val="32"/>
          <w:szCs w:val="32"/>
          <w:lang w:eastAsia="zh-CN"/>
        </w:rPr>
        <w:t>项目实施单位</w:t>
      </w:r>
      <w:r>
        <w:rPr>
          <w:rFonts w:ascii="Times New Roman" w:hAnsi="Times New Roman" w:eastAsia="仿宋_GB2312" w:cs="Times New Roman"/>
          <w:sz w:val="32"/>
          <w:szCs w:val="32"/>
          <w:lang w:eastAsia="zh-CN"/>
        </w:rPr>
        <w:t>编制了《项目支出绩效目标申报表》</w:t>
      </w:r>
      <w:r>
        <w:rPr>
          <w:rFonts w:hint="eastAsia" w:ascii="Times New Roman" w:hAnsi="Times New Roman" w:eastAsia="仿宋_GB2312" w:cs="Times New Roman"/>
          <w:sz w:val="32"/>
          <w:szCs w:val="32"/>
          <w:lang w:eastAsia="zh-CN"/>
        </w:rPr>
        <w:t>，其中有各级绩效目标分类</w:t>
      </w:r>
      <w:r>
        <w:rPr>
          <w:rFonts w:ascii="Times New Roman" w:hAnsi="Times New Roman" w:eastAsia="仿宋_GB2312" w:cs="Times New Roman"/>
          <w:sz w:val="32"/>
          <w:szCs w:val="32"/>
          <w:lang w:eastAsia="zh-CN"/>
        </w:rPr>
        <w:t>。</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项目支出绩效目标申报表》中的三级指标对数量指标、质量指标、时效指标、成本指标、社会效益以及服务对象满意度等方面做出了划分列项，均与实际工作内容相关，成本指标与预算确定的项目投资额或资金量相匹配。</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highlight w:val="yellow"/>
          <w:lang w:eastAsia="zh-CN"/>
        </w:rPr>
      </w:pPr>
      <w:r>
        <w:rPr>
          <w:rFonts w:hint="eastAsia" w:ascii="Times New Roman" w:hAnsi="Times New Roman" w:eastAsia="仿宋_GB2312" w:cs="Times New Roman"/>
          <w:sz w:val="32"/>
          <w:szCs w:val="32"/>
          <w:lang w:eastAsia="zh-CN"/>
        </w:rPr>
        <w:t>本</w:t>
      </w:r>
      <w:r>
        <w:rPr>
          <w:rFonts w:ascii="Times New Roman" w:hAnsi="Times New Roman" w:eastAsia="仿宋_GB2312" w:cs="Times New Roman"/>
          <w:sz w:val="32"/>
          <w:szCs w:val="32"/>
          <w:lang w:eastAsia="zh-CN"/>
        </w:rPr>
        <w:t>项目</w:t>
      </w:r>
      <w:r>
        <w:rPr>
          <w:rFonts w:hint="eastAsia" w:ascii="Times New Roman" w:hAnsi="Times New Roman" w:eastAsia="仿宋_GB2312" w:cs="Times New Roman"/>
          <w:sz w:val="32"/>
          <w:szCs w:val="32"/>
          <w:lang w:eastAsia="zh-CN"/>
        </w:rPr>
        <w:t>设定了</w:t>
      </w:r>
      <w:r>
        <w:rPr>
          <w:rFonts w:ascii="Times New Roman" w:hAnsi="Times New Roman" w:eastAsia="仿宋_GB2312" w:cs="Times New Roman"/>
          <w:sz w:val="32"/>
          <w:szCs w:val="32"/>
          <w:lang w:eastAsia="zh-CN"/>
        </w:rPr>
        <w:t>绩效目标，</w:t>
      </w:r>
      <w:r>
        <w:rPr>
          <w:rFonts w:hint="eastAsia" w:ascii="Times New Roman" w:hAnsi="Times New Roman" w:eastAsia="仿宋_GB2312" w:cs="Times New Roman"/>
          <w:sz w:val="32"/>
          <w:szCs w:val="32"/>
          <w:lang w:eastAsia="zh-CN"/>
        </w:rPr>
        <w:t>且与实际工作内容具有较强的相关性，与预算确定的项目投资额或资金量相匹配。</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该项标准分值3分，实际得分为3分。</w:t>
      </w:r>
    </w:p>
    <w:p>
      <w:pPr>
        <w:spacing w:line="300" w:lineRule="auto"/>
        <w:jc w:val="both"/>
        <w:outlineLvl w:val="2"/>
        <w:rPr>
          <w:rFonts w:ascii="Times New Roman" w:hAnsi="Times New Roman" w:eastAsia="仿宋_GB2312" w:cs="Times New Roman"/>
          <w:b/>
          <w:sz w:val="32"/>
          <w:szCs w:val="32"/>
          <w:lang w:eastAsia="zh-CN"/>
        </w:rPr>
      </w:pPr>
      <w:bookmarkStart w:id="80" w:name="_Toc63706271"/>
      <w:bookmarkStart w:id="81" w:name="_Toc107933408"/>
      <w:bookmarkStart w:id="82" w:name="_Toc83563136"/>
      <w:r>
        <w:rPr>
          <w:rFonts w:ascii="Times New Roman" w:hAnsi="Times New Roman" w:eastAsia="仿宋_GB2312" w:cs="Times New Roman"/>
          <w:b/>
          <w:sz w:val="32"/>
          <w:szCs w:val="32"/>
          <w:lang w:eastAsia="zh-CN"/>
        </w:rPr>
        <w:t>4.绩效目标明确性</w:t>
      </w:r>
      <w:bookmarkEnd w:id="80"/>
      <w:bookmarkEnd w:id="81"/>
      <w:bookmarkEnd w:id="82"/>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市场监管业务包括：产品质量抽检工作、食品药品医疗器械安全监管服务费、鉴定费、企业管理辅助信息服务、转供电第三方服务费等项目。项目实施单位编制的《项目支出绩效目标申报表》中各项绩效指标都已细化为三级指标，数量指标值清晰、可度量。具体</w:t>
      </w:r>
      <w:r>
        <w:rPr>
          <w:rFonts w:ascii="Times New Roman" w:hAnsi="Times New Roman" w:eastAsia="仿宋_GB2312" w:cs="Times New Roman"/>
          <w:sz w:val="32"/>
          <w:szCs w:val="32"/>
          <w:lang w:eastAsia="zh-CN"/>
        </w:rPr>
        <w:t>指标值见表</w:t>
      </w:r>
      <w:r>
        <w:rPr>
          <w:rFonts w:hint="eastAsia" w:ascii="Times New Roman" w:hAnsi="Times New Roman" w:eastAsia="仿宋_GB2312" w:cs="Times New Roman"/>
          <w:sz w:val="32"/>
          <w:szCs w:val="32"/>
          <w:lang w:eastAsia="zh-CN"/>
        </w:rPr>
        <w:t>4.1。</w:t>
      </w:r>
    </w:p>
    <w:p>
      <w:pPr>
        <w:spacing w:line="300" w:lineRule="auto"/>
        <w:jc w:val="center"/>
        <w:rPr>
          <w:rFonts w:ascii="Times New Roman" w:hAnsi="Times New Roman" w:eastAsia="仿宋_GB2312" w:cs="Times New Roman"/>
          <w:sz w:val="30"/>
          <w:szCs w:val="30"/>
          <w:lang w:eastAsia="zh-CN"/>
        </w:rPr>
      </w:pPr>
      <w:r>
        <w:rPr>
          <w:rFonts w:hint="eastAsia" w:ascii="Times New Roman" w:hAnsi="Times New Roman" w:eastAsia="仿宋_GB2312" w:cs="Times New Roman"/>
          <w:sz w:val="30"/>
          <w:szCs w:val="30"/>
          <w:lang w:eastAsia="zh-CN"/>
        </w:rPr>
        <w:t>表4.1 绩效目标及指标值</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425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blHeader/>
        </w:trPr>
        <w:tc>
          <w:tcPr>
            <w:tcW w:w="1701" w:type="dxa"/>
            <w:shd w:val="clear" w:color="auto" w:fill="auto"/>
            <w:noWrap/>
            <w:vAlign w:val="center"/>
          </w:tcPr>
          <w:p>
            <w:pPr>
              <w:widowControl/>
              <w:jc w:val="center"/>
              <w:rPr>
                <w:rFonts w:ascii="Times New Roman" w:hAnsi="Times New Roman" w:eastAsia="仿宋_GB2312" w:cs="Times New Roman"/>
                <w:b/>
                <w:sz w:val="32"/>
                <w:szCs w:val="32"/>
                <w:lang w:eastAsia="zh-CN"/>
              </w:rPr>
            </w:pPr>
            <w:r>
              <w:rPr>
                <w:rFonts w:ascii="Times New Roman" w:hAnsi="Times New Roman" w:eastAsia="仿宋_GB2312" w:cs="Times New Roman"/>
                <w:b/>
                <w:sz w:val="32"/>
                <w:szCs w:val="32"/>
                <w:lang w:eastAsia="zh-CN"/>
              </w:rPr>
              <w:t>二级指标</w:t>
            </w:r>
          </w:p>
        </w:tc>
        <w:tc>
          <w:tcPr>
            <w:tcW w:w="4253" w:type="dxa"/>
            <w:shd w:val="clear" w:color="auto" w:fill="auto"/>
            <w:noWrap/>
            <w:vAlign w:val="center"/>
          </w:tcPr>
          <w:p>
            <w:pPr>
              <w:widowControl/>
              <w:jc w:val="center"/>
              <w:rPr>
                <w:rFonts w:ascii="Times New Roman" w:hAnsi="Times New Roman" w:eastAsia="仿宋_GB2312" w:cs="Times New Roman"/>
                <w:b/>
                <w:sz w:val="32"/>
                <w:szCs w:val="32"/>
                <w:lang w:eastAsia="zh-CN"/>
              </w:rPr>
            </w:pPr>
            <w:r>
              <w:rPr>
                <w:rFonts w:ascii="Times New Roman" w:hAnsi="Times New Roman" w:eastAsia="仿宋_GB2312" w:cs="Times New Roman"/>
                <w:b/>
                <w:sz w:val="32"/>
                <w:szCs w:val="32"/>
                <w:lang w:eastAsia="zh-CN"/>
              </w:rPr>
              <w:t>三级指标</w:t>
            </w:r>
          </w:p>
        </w:tc>
        <w:tc>
          <w:tcPr>
            <w:tcW w:w="2410" w:type="dxa"/>
            <w:shd w:val="clear" w:color="auto" w:fill="auto"/>
            <w:vAlign w:val="center"/>
          </w:tcPr>
          <w:p>
            <w:pPr>
              <w:widowControl/>
              <w:jc w:val="center"/>
              <w:rPr>
                <w:rFonts w:ascii="Times New Roman" w:hAnsi="Times New Roman" w:eastAsia="仿宋_GB2312" w:cs="Times New Roman"/>
                <w:b/>
                <w:sz w:val="32"/>
                <w:szCs w:val="32"/>
                <w:lang w:eastAsia="zh-CN"/>
              </w:rPr>
            </w:pPr>
            <w:r>
              <w:rPr>
                <w:rFonts w:ascii="Times New Roman" w:hAnsi="Times New Roman" w:eastAsia="仿宋_GB2312" w:cs="Times New Roman"/>
                <w:b/>
                <w:sz w:val="32"/>
                <w:szCs w:val="32"/>
                <w:lang w:eastAsia="zh-CN"/>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701" w:type="dxa"/>
            <w:vMerge w:val="restart"/>
            <w:shd w:val="clear" w:color="auto" w:fill="auto"/>
            <w:noWrap/>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数量指标</w:t>
            </w:r>
          </w:p>
        </w:tc>
        <w:tc>
          <w:tcPr>
            <w:tcW w:w="4253" w:type="dxa"/>
            <w:shd w:val="clear" w:color="auto" w:fill="auto"/>
            <w:noWrap/>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开展抽检完成率</w:t>
            </w:r>
          </w:p>
        </w:tc>
        <w:tc>
          <w:tcPr>
            <w:tcW w:w="2410" w:type="dxa"/>
            <w:shd w:val="clear" w:color="auto" w:fill="auto"/>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701" w:type="dxa"/>
            <w:vMerge w:val="continue"/>
            <w:vAlign w:val="center"/>
          </w:tcPr>
          <w:p>
            <w:pPr>
              <w:widowControl/>
              <w:rPr>
                <w:rFonts w:ascii="Times New Roman" w:hAnsi="Times New Roman" w:eastAsia="仿宋_GB2312" w:cs="Times New Roman"/>
                <w:sz w:val="32"/>
                <w:szCs w:val="32"/>
                <w:lang w:eastAsia="zh-CN"/>
              </w:rPr>
            </w:pPr>
          </w:p>
        </w:tc>
        <w:tc>
          <w:tcPr>
            <w:tcW w:w="4253" w:type="dxa"/>
            <w:shd w:val="clear" w:color="auto" w:fill="auto"/>
            <w:noWrap/>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定期向企业推送提醒服务</w:t>
            </w:r>
          </w:p>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通知</w:t>
            </w:r>
          </w:p>
        </w:tc>
        <w:tc>
          <w:tcPr>
            <w:tcW w:w="2410" w:type="dxa"/>
            <w:shd w:val="clear" w:color="auto" w:fill="auto"/>
            <w:vAlign w:val="center"/>
          </w:tcPr>
          <w:p>
            <w:pPr>
              <w:widowControl/>
              <w:jc w:val="center"/>
              <w:rPr>
                <w:rFonts w:ascii="Times New Roman"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w:t>
            </w:r>
            <w:r>
              <w:rPr>
                <w:rFonts w:ascii="Times New Roman" w:hAnsi="Times New Roman" w:eastAsia="仿宋_GB2312" w:cs="Times New Roman"/>
                <w:sz w:val="32"/>
                <w:szCs w:val="32"/>
                <w:lang w:eastAsia="zh-CN"/>
              </w:rPr>
              <w:t>20000户次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701" w:type="dxa"/>
            <w:vMerge w:val="continue"/>
            <w:vAlign w:val="center"/>
          </w:tcPr>
          <w:p>
            <w:pPr>
              <w:widowControl/>
              <w:rPr>
                <w:rFonts w:ascii="Times New Roman" w:hAnsi="Times New Roman" w:eastAsia="仿宋_GB2312" w:cs="Times New Roman"/>
                <w:sz w:val="32"/>
                <w:szCs w:val="32"/>
                <w:lang w:eastAsia="zh-CN"/>
              </w:rPr>
            </w:pPr>
          </w:p>
        </w:tc>
        <w:tc>
          <w:tcPr>
            <w:tcW w:w="4253" w:type="dxa"/>
            <w:shd w:val="clear" w:color="auto" w:fill="auto"/>
            <w:noWrap/>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转供电主体审查覆盖率</w:t>
            </w:r>
          </w:p>
        </w:tc>
        <w:tc>
          <w:tcPr>
            <w:tcW w:w="2410" w:type="dxa"/>
            <w:shd w:val="clear" w:color="auto" w:fill="auto"/>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701" w:type="dxa"/>
            <w:vMerge w:val="restart"/>
            <w:shd w:val="clear" w:color="auto" w:fill="auto"/>
            <w:noWrap/>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质量指标</w:t>
            </w:r>
          </w:p>
        </w:tc>
        <w:tc>
          <w:tcPr>
            <w:tcW w:w="4253" w:type="dxa"/>
            <w:shd w:val="clear" w:color="auto" w:fill="auto"/>
            <w:noWrap/>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企业提醒服务联系台账信息完善度</w:t>
            </w:r>
          </w:p>
        </w:tc>
        <w:tc>
          <w:tcPr>
            <w:tcW w:w="2410" w:type="dxa"/>
            <w:shd w:val="clear" w:color="auto" w:fill="auto"/>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701" w:type="dxa"/>
            <w:vMerge w:val="continue"/>
            <w:vAlign w:val="center"/>
          </w:tcPr>
          <w:p>
            <w:pPr>
              <w:widowControl/>
              <w:rPr>
                <w:rFonts w:ascii="Times New Roman" w:hAnsi="Times New Roman" w:eastAsia="仿宋_GB2312" w:cs="Times New Roman"/>
                <w:sz w:val="32"/>
                <w:szCs w:val="32"/>
                <w:lang w:eastAsia="zh-CN"/>
              </w:rPr>
            </w:pPr>
          </w:p>
        </w:tc>
        <w:tc>
          <w:tcPr>
            <w:tcW w:w="4253" w:type="dxa"/>
            <w:shd w:val="clear" w:color="auto" w:fill="auto"/>
            <w:noWrap/>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企业信息公示年报问题解答满意度</w:t>
            </w:r>
          </w:p>
        </w:tc>
        <w:tc>
          <w:tcPr>
            <w:tcW w:w="2410" w:type="dxa"/>
            <w:shd w:val="clear" w:color="auto" w:fill="auto"/>
            <w:vAlign w:val="center"/>
          </w:tcPr>
          <w:p>
            <w:pPr>
              <w:widowControl/>
              <w:jc w:val="center"/>
              <w:rPr>
                <w:rFonts w:ascii="Times New Roman"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w:t>
            </w:r>
            <w:r>
              <w:rPr>
                <w:rFonts w:ascii="Times New Roman" w:hAnsi="Times New Roman" w:eastAsia="仿宋_GB2312" w:cs="Times New Roman"/>
                <w:sz w:val="32"/>
                <w:szCs w:val="32"/>
                <w:lang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701" w:type="dxa"/>
            <w:vMerge w:val="continue"/>
            <w:vAlign w:val="center"/>
          </w:tcPr>
          <w:p>
            <w:pPr>
              <w:widowControl/>
              <w:rPr>
                <w:rFonts w:ascii="Times New Roman" w:hAnsi="Times New Roman" w:eastAsia="仿宋_GB2312" w:cs="Times New Roman"/>
                <w:sz w:val="32"/>
                <w:szCs w:val="32"/>
                <w:lang w:eastAsia="zh-CN"/>
              </w:rPr>
            </w:pPr>
          </w:p>
        </w:tc>
        <w:tc>
          <w:tcPr>
            <w:tcW w:w="4253" w:type="dxa"/>
            <w:shd w:val="clear" w:color="auto" w:fill="auto"/>
            <w:noWrap/>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服务验收合格率</w:t>
            </w:r>
          </w:p>
        </w:tc>
        <w:tc>
          <w:tcPr>
            <w:tcW w:w="2410" w:type="dxa"/>
            <w:shd w:val="clear" w:color="auto" w:fill="auto"/>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701" w:type="dxa"/>
            <w:vMerge w:val="restart"/>
            <w:shd w:val="clear" w:color="auto" w:fill="auto"/>
            <w:noWrap/>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时效指标</w:t>
            </w:r>
          </w:p>
        </w:tc>
        <w:tc>
          <w:tcPr>
            <w:tcW w:w="4253" w:type="dxa"/>
            <w:shd w:val="clear" w:color="auto" w:fill="auto"/>
            <w:noWrap/>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企业信息公示年报提醒服务</w:t>
            </w:r>
          </w:p>
        </w:tc>
        <w:tc>
          <w:tcPr>
            <w:tcW w:w="2410" w:type="dxa"/>
            <w:shd w:val="clear" w:color="auto" w:fill="auto"/>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701" w:type="dxa"/>
            <w:vMerge w:val="continue"/>
            <w:vAlign w:val="center"/>
          </w:tcPr>
          <w:p>
            <w:pPr>
              <w:widowControl/>
              <w:rPr>
                <w:rFonts w:ascii="Times New Roman" w:hAnsi="Times New Roman" w:eastAsia="仿宋_GB2312" w:cs="Times New Roman"/>
                <w:sz w:val="32"/>
                <w:szCs w:val="32"/>
                <w:lang w:eastAsia="zh-CN"/>
              </w:rPr>
            </w:pPr>
          </w:p>
        </w:tc>
        <w:tc>
          <w:tcPr>
            <w:tcW w:w="4253" w:type="dxa"/>
            <w:shd w:val="clear" w:color="auto" w:fill="auto"/>
            <w:noWrap/>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能够及时合理安排人员对接工作</w:t>
            </w:r>
          </w:p>
        </w:tc>
        <w:tc>
          <w:tcPr>
            <w:tcW w:w="2410" w:type="dxa"/>
            <w:shd w:val="clear" w:color="auto" w:fill="auto"/>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工作发生后8小时内能够安排4名符合要求人员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701" w:type="dxa"/>
            <w:vMerge w:val="continue"/>
            <w:vAlign w:val="center"/>
          </w:tcPr>
          <w:p>
            <w:pPr>
              <w:widowControl/>
              <w:rPr>
                <w:rFonts w:ascii="Times New Roman" w:hAnsi="Times New Roman" w:eastAsia="仿宋_GB2312" w:cs="Times New Roman"/>
                <w:sz w:val="32"/>
                <w:szCs w:val="32"/>
                <w:lang w:eastAsia="zh-CN"/>
              </w:rPr>
            </w:pPr>
          </w:p>
        </w:tc>
        <w:tc>
          <w:tcPr>
            <w:tcW w:w="4253" w:type="dxa"/>
            <w:shd w:val="clear" w:color="auto" w:fill="auto"/>
            <w:noWrap/>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通知提醒及时率</w:t>
            </w:r>
          </w:p>
        </w:tc>
        <w:tc>
          <w:tcPr>
            <w:tcW w:w="2410" w:type="dxa"/>
            <w:shd w:val="clear" w:color="auto" w:fill="auto"/>
            <w:noWrap/>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根据有关通知及时完成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701" w:type="dxa"/>
            <w:shd w:val="clear" w:color="auto" w:fill="auto"/>
            <w:noWrap/>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成本指标</w:t>
            </w:r>
          </w:p>
        </w:tc>
        <w:tc>
          <w:tcPr>
            <w:tcW w:w="4253" w:type="dxa"/>
            <w:shd w:val="clear" w:color="auto" w:fill="auto"/>
            <w:noWrap/>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服务费用</w:t>
            </w:r>
          </w:p>
        </w:tc>
        <w:tc>
          <w:tcPr>
            <w:tcW w:w="2410" w:type="dxa"/>
            <w:shd w:val="clear" w:color="auto" w:fill="auto"/>
            <w:noWrap/>
            <w:vAlign w:val="center"/>
          </w:tcPr>
          <w:p>
            <w:pPr>
              <w:widowControl/>
              <w:jc w:val="center"/>
              <w:rPr>
                <w:rFonts w:ascii="Times New Roman"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w:t>
            </w:r>
            <w:r>
              <w:rPr>
                <w:rFonts w:ascii="Times New Roman" w:hAnsi="Times New Roman" w:eastAsia="仿宋_GB2312" w:cs="Times New Roman"/>
                <w:sz w:val="32"/>
                <w:szCs w:val="32"/>
                <w:lang w:eastAsia="zh-CN"/>
              </w:rPr>
              <w:t>180.97万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701" w:type="dxa"/>
            <w:vMerge w:val="restart"/>
            <w:shd w:val="clear" w:color="auto" w:fill="auto"/>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社会效益指标</w:t>
            </w:r>
          </w:p>
        </w:tc>
        <w:tc>
          <w:tcPr>
            <w:tcW w:w="4253" w:type="dxa"/>
            <w:shd w:val="clear" w:color="auto" w:fill="auto"/>
            <w:noWrap/>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年报完成率</w:t>
            </w:r>
          </w:p>
        </w:tc>
        <w:tc>
          <w:tcPr>
            <w:tcW w:w="2410" w:type="dxa"/>
            <w:shd w:val="clear" w:color="auto" w:fill="auto"/>
            <w:noWrap/>
            <w:vAlign w:val="center"/>
          </w:tcPr>
          <w:p>
            <w:pPr>
              <w:widowControl/>
              <w:jc w:val="center"/>
              <w:rPr>
                <w:rFonts w:ascii="Times New Roman"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w:t>
            </w:r>
            <w:r>
              <w:rPr>
                <w:rFonts w:ascii="Times New Roman" w:hAnsi="Times New Roman" w:eastAsia="仿宋_GB2312" w:cs="Times New Roman"/>
                <w:sz w:val="32"/>
                <w:szCs w:val="32"/>
                <w:lang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701" w:type="dxa"/>
            <w:vMerge w:val="continue"/>
            <w:vAlign w:val="center"/>
          </w:tcPr>
          <w:p>
            <w:pPr>
              <w:widowControl/>
              <w:rPr>
                <w:rFonts w:ascii="Times New Roman" w:hAnsi="Times New Roman" w:eastAsia="仿宋_GB2312" w:cs="Times New Roman"/>
                <w:sz w:val="32"/>
                <w:szCs w:val="32"/>
                <w:lang w:eastAsia="zh-CN"/>
              </w:rPr>
            </w:pPr>
          </w:p>
        </w:tc>
        <w:tc>
          <w:tcPr>
            <w:tcW w:w="4253" w:type="dxa"/>
            <w:shd w:val="clear" w:color="auto" w:fill="auto"/>
            <w:noWrap/>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监管效果</w:t>
            </w:r>
          </w:p>
        </w:tc>
        <w:tc>
          <w:tcPr>
            <w:tcW w:w="2410" w:type="dxa"/>
            <w:shd w:val="clear" w:color="auto" w:fill="auto"/>
            <w:noWrap/>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监管效果提升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701" w:type="dxa"/>
            <w:vMerge w:val="restart"/>
            <w:shd w:val="clear" w:color="auto" w:fill="auto"/>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服务对象满意度指标</w:t>
            </w:r>
          </w:p>
        </w:tc>
        <w:tc>
          <w:tcPr>
            <w:tcW w:w="4253" w:type="dxa"/>
            <w:shd w:val="clear" w:color="auto" w:fill="auto"/>
            <w:noWrap/>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行政相对人满意度</w:t>
            </w:r>
          </w:p>
        </w:tc>
        <w:tc>
          <w:tcPr>
            <w:tcW w:w="2410" w:type="dxa"/>
            <w:shd w:val="clear" w:color="auto" w:fill="auto"/>
            <w:noWrap/>
            <w:vAlign w:val="center"/>
          </w:tcPr>
          <w:p>
            <w:pPr>
              <w:widowControl/>
              <w:jc w:val="center"/>
              <w:rPr>
                <w:rFonts w:ascii="Times New Roman"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w:t>
            </w:r>
            <w:r>
              <w:rPr>
                <w:rFonts w:ascii="Times New Roman" w:hAnsi="Times New Roman" w:eastAsia="仿宋_GB2312" w:cs="Times New Roman"/>
                <w:sz w:val="32"/>
                <w:szCs w:val="32"/>
                <w:lang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1701" w:type="dxa"/>
            <w:vMerge w:val="continue"/>
            <w:vAlign w:val="center"/>
          </w:tcPr>
          <w:p>
            <w:pPr>
              <w:widowControl/>
              <w:rPr>
                <w:rFonts w:ascii="Times New Roman" w:hAnsi="Times New Roman" w:eastAsia="仿宋_GB2312" w:cs="Times New Roman"/>
                <w:sz w:val="32"/>
                <w:szCs w:val="32"/>
                <w:lang w:eastAsia="zh-CN"/>
              </w:rPr>
            </w:pPr>
          </w:p>
        </w:tc>
        <w:tc>
          <w:tcPr>
            <w:tcW w:w="4253" w:type="dxa"/>
            <w:shd w:val="clear" w:color="auto" w:fill="auto"/>
            <w:vAlign w:val="center"/>
          </w:tcPr>
          <w:p>
            <w:pPr>
              <w:widowControl/>
              <w:jc w:val="center"/>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工作人员满意度</w:t>
            </w:r>
          </w:p>
        </w:tc>
        <w:tc>
          <w:tcPr>
            <w:tcW w:w="2410" w:type="dxa"/>
            <w:shd w:val="clear" w:color="auto" w:fill="auto"/>
            <w:vAlign w:val="center"/>
          </w:tcPr>
          <w:p>
            <w:pPr>
              <w:widowControl/>
              <w:jc w:val="center"/>
              <w:rPr>
                <w:rFonts w:ascii="Times New Roman" w:hAnsi="Times New Roman" w:eastAsia="仿宋_GB2312" w:cs="Times New Roman"/>
                <w:sz w:val="32"/>
                <w:szCs w:val="32"/>
                <w:lang w:eastAsia="zh-CN"/>
              </w:rPr>
            </w:pPr>
            <w:r>
              <w:rPr>
                <w:rFonts w:hint="eastAsia" w:ascii="仿宋_GB2312" w:hAnsi="楷体" w:eastAsia="仿宋_GB2312" w:cs="Times New Roman"/>
                <w:sz w:val="32"/>
                <w:szCs w:val="32"/>
                <w:lang w:eastAsia="zh-CN"/>
              </w:rPr>
              <w:t>≥</w:t>
            </w:r>
            <w:r>
              <w:rPr>
                <w:rFonts w:ascii="Times New Roman" w:hAnsi="Times New Roman" w:eastAsia="仿宋_GB2312" w:cs="Times New Roman"/>
                <w:sz w:val="32"/>
                <w:szCs w:val="32"/>
                <w:lang w:eastAsia="zh-CN"/>
              </w:rPr>
              <w:t>95%</w:t>
            </w:r>
          </w:p>
        </w:tc>
      </w:tr>
    </w:tbl>
    <w:p>
      <w:pPr>
        <w:spacing w:line="300" w:lineRule="auto"/>
        <w:jc w:val="both"/>
        <w:outlineLvl w:val="3"/>
        <w:rPr>
          <w:rFonts w:ascii="Times New Roman" w:hAnsi="Times New Roman" w:eastAsia="仿宋_GB2312" w:cs="Times New Roman"/>
          <w:sz w:val="32"/>
          <w:szCs w:val="32"/>
          <w:lang w:eastAsia="zh-CN"/>
        </w:rPr>
      </w:pP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本项目</w:t>
      </w:r>
      <w:r>
        <w:rPr>
          <w:rFonts w:hint="eastAsia" w:ascii="Times New Roman" w:hAnsi="Times New Roman" w:eastAsia="仿宋_GB2312" w:cs="Times New Roman"/>
          <w:sz w:val="32"/>
          <w:szCs w:val="32"/>
          <w:lang w:eastAsia="zh-CN"/>
        </w:rPr>
        <w:t>除质量指标</w:t>
      </w:r>
      <w:r>
        <w:rPr>
          <w:rFonts w:ascii="Times New Roman" w:hAnsi="Times New Roman" w:eastAsia="仿宋_GB2312" w:cs="Times New Roman"/>
          <w:sz w:val="32"/>
          <w:szCs w:val="32"/>
          <w:lang w:eastAsia="zh-CN"/>
        </w:rPr>
        <w:t>指标外都被细化分解为具体的绩效指标，</w:t>
      </w:r>
      <w:r>
        <w:rPr>
          <w:rFonts w:hint="eastAsia" w:ascii="Times New Roman" w:hAnsi="Times New Roman" w:eastAsia="仿宋_GB2312" w:cs="Times New Roman"/>
          <w:sz w:val="32"/>
          <w:szCs w:val="32"/>
          <w:lang w:eastAsia="zh-CN"/>
        </w:rPr>
        <w:t>绩效指标值表述清晰明确，该项标准分值3分，实际得分为3分。</w:t>
      </w:r>
    </w:p>
    <w:p>
      <w:pPr>
        <w:spacing w:line="300" w:lineRule="auto"/>
        <w:jc w:val="both"/>
        <w:outlineLvl w:val="2"/>
        <w:rPr>
          <w:rFonts w:ascii="Times New Roman" w:hAnsi="Times New Roman" w:eastAsia="仿宋_GB2312" w:cs="Times New Roman"/>
          <w:b/>
          <w:sz w:val="32"/>
          <w:szCs w:val="32"/>
          <w:lang w:eastAsia="zh-CN"/>
        </w:rPr>
      </w:pPr>
      <w:bookmarkStart w:id="83" w:name="_Toc63706272"/>
      <w:bookmarkStart w:id="84" w:name="_Toc83563137"/>
      <w:bookmarkStart w:id="85" w:name="_Toc107933409"/>
      <w:r>
        <w:rPr>
          <w:rFonts w:ascii="Times New Roman" w:hAnsi="Times New Roman" w:eastAsia="仿宋_GB2312" w:cs="Times New Roman"/>
          <w:b/>
          <w:sz w:val="32"/>
          <w:szCs w:val="32"/>
          <w:lang w:eastAsia="zh-CN"/>
        </w:rPr>
        <w:t>5.预算编制科学性</w:t>
      </w:r>
      <w:bookmarkEnd w:id="83"/>
      <w:bookmarkEnd w:id="84"/>
      <w:bookmarkEnd w:id="85"/>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1）财政局聘请第三方专业机构对本项目所包含的各个项目的预算进行审核，并出具了预算审核报告，本项目经过了科学有效的论证。</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2）经查阅本项目预算组成明细，均与本次项目内容相匹配</w:t>
      </w:r>
      <w:r>
        <w:rPr>
          <w:rFonts w:ascii="Times New Roman" w:hAnsi="Times New Roman" w:eastAsia="仿宋_GB2312" w:cs="Times New Roman"/>
          <w:sz w:val="32"/>
          <w:szCs w:val="32"/>
          <w:lang w:eastAsia="zh-CN"/>
        </w:rPr>
        <w:t>，且预算编制依据充分。</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本项目的预算编制经过科学论证，预算内容</w:t>
      </w:r>
      <w:r>
        <w:rPr>
          <w:rFonts w:hint="eastAsia" w:ascii="Times New Roman" w:hAnsi="Times New Roman" w:eastAsia="仿宋_GB2312" w:cs="Times New Roman"/>
          <w:sz w:val="32"/>
          <w:szCs w:val="32"/>
          <w:lang w:eastAsia="zh-CN"/>
        </w:rPr>
        <w:t>基本</w:t>
      </w:r>
      <w:r>
        <w:rPr>
          <w:rFonts w:ascii="Times New Roman" w:hAnsi="Times New Roman" w:eastAsia="仿宋_GB2312" w:cs="Times New Roman"/>
          <w:sz w:val="32"/>
          <w:szCs w:val="32"/>
          <w:lang w:eastAsia="zh-CN"/>
        </w:rPr>
        <w:t>与项目内容匹配</w:t>
      </w:r>
      <w:r>
        <w:rPr>
          <w:rFonts w:hint="eastAsia" w:ascii="Times New Roman" w:hAnsi="Times New Roman" w:eastAsia="仿宋_GB2312" w:cs="Times New Roman"/>
          <w:sz w:val="32"/>
          <w:szCs w:val="32"/>
          <w:lang w:eastAsia="zh-CN"/>
        </w:rPr>
        <w:t>，具备必要的测算依据。</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该项标准分值3分，实际得分为3分。</w:t>
      </w:r>
    </w:p>
    <w:p>
      <w:pPr>
        <w:spacing w:line="300" w:lineRule="auto"/>
        <w:jc w:val="both"/>
        <w:outlineLvl w:val="2"/>
        <w:rPr>
          <w:rFonts w:ascii="Times New Roman" w:hAnsi="Times New Roman" w:eastAsia="仿宋_GB2312" w:cs="Times New Roman"/>
          <w:b/>
          <w:sz w:val="32"/>
          <w:szCs w:val="32"/>
          <w:lang w:eastAsia="zh-CN"/>
        </w:rPr>
      </w:pPr>
      <w:bookmarkStart w:id="86" w:name="_Toc63706273"/>
      <w:bookmarkStart w:id="87" w:name="_Toc107933410"/>
      <w:bookmarkStart w:id="88" w:name="_Toc83563138"/>
      <w:r>
        <w:rPr>
          <w:rFonts w:ascii="Times New Roman" w:hAnsi="Times New Roman" w:eastAsia="仿宋_GB2312" w:cs="Times New Roman"/>
          <w:b/>
          <w:sz w:val="32"/>
          <w:szCs w:val="32"/>
          <w:lang w:eastAsia="zh-CN"/>
        </w:rPr>
        <w:t>6.资金分配合理性</w:t>
      </w:r>
      <w:bookmarkEnd w:id="86"/>
      <w:bookmarkEnd w:id="87"/>
      <w:bookmarkEnd w:id="88"/>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outlineLvl w:val="3"/>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市场局作为管委会的全额拨款单位，项目预算资金由财政局全额拨付，项目2021年度实际执行预算为</w:t>
      </w:r>
      <w:r>
        <w:rPr>
          <w:rFonts w:ascii="Times New Roman" w:hAnsi="Times New Roman" w:eastAsia="仿宋_GB2312" w:cs="Times New Roman"/>
          <w:sz w:val="32"/>
          <w:szCs w:val="32"/>
          <w:lang w:eastAsia="zh-CN"/>
        </w:rPr>
        <w:t>1751561</w:t>
      </w:r>
      <w:r>
        <w:rPr>
          <w:rFonts w:hint="eastAsia" w:ascii="Times New Roman" w:hAnsi="Times New Roman" w:eastAsia="仿宋_GB2312" w:cs="Times New Roman"/>
          <w:sz w:val="32"/>
          <w:szCs w:val="32"/>
          <w:lang w:eastAsia="zh-CN"/>
        </w:rPr>
        <w:t>元，财政全年预算为</w:t>
      </w:r>
      <w:r>
        <w:rPr>
          <w:rFonts w:ascii="Times New Roman" w:hAnsi="Times New Roman" w:eastAsia="仿宋_GB2312" w:cs="Times New Roman"/>
          <w:sz w:val="32"/>
          <w:szCs w:val="32"/>
          <w:lang w:eastAsia="zh-CN"/>
        </w:rPr>
        <w:t>13708580000</w:t>
      </w:r>
      <w:r>
        <w:rPr>
          <w:rFonts w:hint="eastAsia" w:ascii="Times New Roman" w:hAnsi="Times New Roman" w:eastAsia="仿宋_GB2312" w:cs="Times New Roman"/>
          <w:sz w:val="32"/>
          <w:szCs w:val="32"/>
          <w:lang w:eastAsia="zh-CN"/>
        </w:rPr>
        <w:t>元，占财政预算的0.01%，在财政承受能力范围以内。</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本项目预算资金分配依据充分，分配额度合理，在地方财政承受能力范围之内。该项标准分值3分，实际得分为3分。</w:t>
      </w:r>
    </w:p>
    <w:p>
      <w:pPr>
        <w:spacing w:line="300" w:lineRule="auto"/>
        <w:jc w:val="both"/>
        <w:outlineLvl w:val="1"/>
        <w:rPr>
          <w:rFonts w:ascii="Times New Roman" w:hAnsi="Times New Roman" w:eastAsia="仿宋_GB2312" w:cs="Times New Roman"/>
          <w:b/>
          <w:sz w:val="32"/>
          <w:szCs w:val="32"/>
          <w:lang w:eastAsia="zh-CN"/>
        </w:rPr>
      </w:pPr>
      <w:bookmarkStart w:id="89" w:name="_Toc112070433"/>
      <w:r>
        <w:rPr>
          <w:rFonts w:ascii="Times New Roman" w:hAnsi="Times New Roman" w:eastAsia="仿宋_GB2312" w:cs="Times New Roman"/>
          <w:b/>
          <w:sz w:val="32"/>
          <w:szCs w:val="32"/>
          <w:lang w:eastAsia="zh-CN"/>
        </w:rPr>
        <w:t>（二）项目过程情况</w:t>
      </w:r>
      <w:bookmarkEnd w:id="89"/>
    </w:p>
    <w:p>
      <w:pPr>
        <w:spacing w:line="300" w:lineRule="auto"/>
        <w:jc w:val="both"/>
        <w:outlineLvl w:val="2"/>
        <w:rPr>
          <w:rFonts w:ascii="Times New Roman" w:hAnsi="Times New Roman" w:eastAsia="仿宋_GB2312" w:cs="Times New Roman"/>
          <w:b/>
          <w:sz w:val="32"/>
          <w:szCs w:val="32"/>
          <w:lang w:eastAsia="zh-CN"/>
        </w:rPr>
      </w:pPr>
      <w:bookmarkStart w:id="90" w:name="_Toc63706275"/>
      <w:bookmarkStart w:id="91" w:name="_Toc83563140"/>
      <w:bookmarkStart w:id="92" w:name="_Toc107933412"/>
      <w:r>
        <w:rPr>
          <w:rFonts w:ascii="Times New Roman" w:hAnsi="Times New Roman" w:eastAsia="仿宋_GB2312" w:cs="Times New Roman"/>
          <w:b/>
          <w:sz w:val="32"/>
          <w:szCs w:val="32"/>
          <w:lang w:eastAsia="zh-CN"/>
        </w:rPr>
        <w:t>1.资金到位率</w:t>
      </w:r>
      <w:bookmarkEnd w:id="90"/>
      <w:bookmarkEnd w:id="91"/>
      <w:bookmarkEnd w:id="92"/>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经查阅本项目的拨付预算资金通知，拨付预算资金</w:t>
      </w:r>
      <w:r>
        <w:rPr>
          <w:rFonts w:ascii="Times New Roman" w:hAnsi="Times New Roman" w:eastAsia="仿宋_GB2312" w:cs="Times New Roman"/>
          <w:sz w:val="32"/>
          <w:szCs w:val="32"/>
          <w:lang w:eastAsia="zh-CN"/>
        </w:rPr>
        <w:t>为1809700</w:t>
      </w:r>
      <w:r>
        <w:rPr>
          <w:rFonts w:hint="eastAsia" w:ascii="Times New Roman" w:hAnsi="Times New Roman" w:eastAsia="仿宋_GB2312" w:cs="Times New Roman"/>
          <w:sz w:val="32"/>
          <w:szCs w:val="32"/>
          <w:lang w:eastAsia="zh-CN"/>
        </w:rPr>
        <w:t>元，实际到位资金为</w:t>
      </w:r>
      <w:r>
        <w:rPr>
          <w:rFonts w:ascii="Times New Roman" w:hAnsi="Times New Roman" w:eastAsia="仿宋_GB2312" w:cs="Times New Roman"/>
          <w:sz w:val="32"/>
          <w:szCs w:val="32"/>
          <w:lang w:eastAsia="zh-CN"/>
        </w:rPr>
        <w:t>1809700</w:t>
      </w:r>
      <w:r>
        <w:rPr>
          <w:rFonts w:hint="eastAsia" w:ascii="Times New Roman" w:hAnsi="Times New Roman" w:eastAsia="仿宋_GB2312" w:cs="Times New Roman"/>
          <w:sz w:val="32"/>
          <w:szCs w:val="32"/>
          <w:lang w:eastAsia="zh-CN"/>
        </w:rPr>
        <w:t>元，资金到位率为100%。</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本项目资金到位率为</w:t>
      </w:r>
      <w:r>
        <w:rPr>
          <w:rFonts w:hint="eastAsia" w:ascii="Times New Roman" w:hAnsi="Times New Roman" w:eastAsia="仿宋_GB2312" w:cs="Times New Roman"/>
          <w:sz w:val="32"/>
          <w:szCs w:val="32"/>
          <w:lang w:eastAsia="zh-CN"/>
        </w:rPr>
        <w:t>100%，该项标准分值4分，实际</w:t>
      </w:r>
      <w:r>
        <w:rPr>
          <w:rFonts w:ascii="Times New Roman" w:hAnsi="Times New Roman" w:eastAsia="仿宋_GB2312" w:cs="Times New Roman"/>
          <w:sz w:val="32"/>
          <w:szCs w:val="32"/>
          <w:lang w:eastAsia="zh-CN"/>
        </w:rPr>
        <w:t>得分</w:t>
      </w:r>
      <w:r>
        <w:rPr>
          <w:rFonts w:hint="eastAsia" w:ascii="Times New Roman" w:hAnsi="Times New Roman" w:eastAsia="仿宋_GB2312" w:cs="Times New Roman"/>
          <w:sz w:val="32"/>
          <w:szCs w:val="32"/>
          <w:lang w:eastAsia="zh-CN"/>
        </w:rPr>
        <w:t>为4</w:t>
      </w:r>
      <w:r>
        <w:rPr>
          <w:rFonts w:ascii="Times New Roman" w:hAnsi="Times New Roman" w:eastAsia="仿宋_GB2312" w:cs="Times New Roman"/>
          <w:sz w:val="32"/>
          <w:szCs w:val="32"/>
          <w:lang w:eastAsia="zh-CN"/>
        </w:rPr>
        <w:t>分</w:t>
      </w:r>
      <w:r>
        <w:rPr>
          <w:rFonts w:hint="eastAsia" w:ascii="Times New Roman" w:hAnsi="Times New Roman" w:eastAsia="仿宋_GB2312" w:cs="Times New Roman"/>
          <w:sz w:val="32"/>
          <w:szCs w:val="32"/>
          <w:lang w:eastAsia="zh-CN"/>
        </w:rPr>
        <w:t>。</w:t>
      </w:r>
    </w:p>
    <w:p>
      <w:pPr>
        <w:spacing w:line="300" w:lineRule="auto"/>
        <w:jc w:val="both"/>
        <w:outlineLvl w:val="2"/>
        <w:rPr>
          <w:rFonts w:ascii="Times New Roman" w:hAnsi="Times New Roman" w:eastAsia="仿宋_GB2312" w:cs="Times New Roman"/>
          <w:b/>
          <w:sz w:val="32"/>
          <w:szCs w:val="32"/>
          <w:lang w:eastAsia="zh-CN"/>
        </w:rPr>
      </w:pPr>
      <w:bookmarkStart w:id="93" w:name="_Toc107933413"/>
      <w:bookmarkStart w:id="94" w:name="_Toc63706276"/>
      <w:bookmarkStart w:id="95" w:name="_Toc83563141"/>
      <w:r>
        <w:rPr>
          <w:rFonts w:ascii="Times New Roman" w:hAnsi="Times New Roman" w:eastAsia="仿宋_GB2312" w:cs="Times New Roman"/>
          <w:b/>
          <w:sz w:val="32"/>
          <w:szCs w:val="32"/>
          <w:lang w:eastAsia="zh-CN"/>
        </w:rPr>
        <w:t>2.预算执行率</w:t>
      </w:r>
      <w:bookmarkEnd w:id="93"/>
      <w:bookmarkEnd w:id="94"/>
      <w:bookmarkEnd w:id="95"/>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经查阅</w:t>
      </w:r>
      <w:r>
        <w:rPr>
          <w:rFonts w:ascii="Times New Roman" w:hAnsi="Times New Roman" w:eastAsia="仿宋_GB2312" w:cs="Times New Roman"/>
          <w:sz w:val="32"/>
          <w:szCs w:val="32"/>
          <w:lang w:eastAsia="zh-CN"/>
        </w:rPr>
        <w:t>本项目的</w:t>
      </w:r>
      <w:r>
        <w:rPr>
          <w:rFonts w:hint="eastAsia" w:ascii="Times New Roman" w:hAnsi="Times New Roman" w:eastAsia="仿宋_GB2312" w:cs="Times New Roman"/>
          <w:sz w:val="32"/>
          <w:szCs w:val="32"/>
          <w:lang w:eastAsia="zh-CN"/>
        </w:rPr>
        <w:t>财务</w:t>
      </w:r>
      <w:r>
        <w:rPr>
          <w:rFonts w:ascii="Times New Roman" w:hAnsi="Times New Roman" w:eastAsia="仿宋_GB2312" w:cs="Times New Roman"/>
          <w:sz w:val="32"/>
          <w:szCs w:val="32"/>
          <w:lang w:eastAsia="zh-CN"/>
        </w:rPr>
        <w:t>记账凭证</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lang w:eastAsia="zh-CN"/>
        </w:rPr>
        <w:t>实际支出资金为1751561</w:t>
      </w:r>
      <w:r>
        <w:rPr>
          <w:rFonts w:hint="eastAsia" w:ascii="Times New Roman" w:hAnsi="Times New Roman" w:eastAsia="仿宋_GB2312" w:cs="Times New Roman"/>
          <w:sz w:val="32"/>
          <w:szCs w:val="32"/>
          <w:lang w:eastAsia="zh-CN"/>
        </w:rPr>
        <w:t>元，全年预算资金为</w:t>
      </w:r>
      <w:r>
        <w:rPr>
          <w:rFonts w:ascii="Times New Roman" w:hAnsi="Times New Roman" w:eastAsia="仿宋_GB2312" w:cs="Times New Roman"/>
          <w:sz w:val="32"/>
          <w:szCs w:val="32"/>
          <w:lang w:eastAsia="zh-CN"/>
        </w:rPr>
        <w:t>1809700</w:t>
      </w:r>
      <w:r>
        <w:rPr>
          <w:rFonts w:hint="eastAsia" w:ascii="Times New Roman" w:hAnsi="Times New Roman" w:eastAsia="仿宋_GB2312" w:cs="Times New Roman"/>
          <w:sz w:val="32"/>
          <w:szCs w:val="32"/>
          <w:lang w:eastAsia="zh-CN"/>
        </w:rPr>
        <w:t>元，预算执行率=（</w:t>
      </w:r>
      <w:r>
        <w:rPr>
          <w:rFonts w:ascii="Times New Roman" w:hAnsi="Times New Roman" w:eastAsia="仿宋_GB2312" w:cs="Times New Roman"/>
          <w:sz w:val="32"/>
          <w:szCs w:val="32"/>
          <w:lang w:eastAsia="zh-CN"/>
        </w:rPr>
        <w:t>1751561</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lang w:eastAsia="zh-CN"/>
        </w:rPr>
        <w:t>1809700</w:t>
      </w:r>
      <w:r>
        <w:rPr>
          <w:rFonts w:hint="eastAsia" w:ascii="Times New Roman" w:hAnsi="Times New Roman" w:eastAsia="仿宋_GB2312" w:cs="Times New Roman"/>
          <w:sz w:val="32"/>
          <w:szCs w:val="32"/>
          <w:lang w:eastAsia="zh-CN"/>
        </w:rPr>
        <w:t>）×100%=</w:t>
      </w:r>
      <w:r>
        <w:rPr>
          <w:rFonts w:ascii="Times New Roman" w:hAnsi="Times New Roman" w:eastAsia="仿宋_GB2312" w:cs="Times New Roman"/>
          <w:sz w:val="32"/>
          <w:szCs w:val="32"/>
          <w:lang w:eastAsia="zh-CN"/>
        </w:rPr>
        <w:t>96.79%</w:t>
      </w:r>
      <w:r>
        <w:rPr>
          <w:rFonts w:hint="eastAsia" w:ascii="Times New Roman" w:hAnsi="Times New Roman" w:eastAsia="仿宋_GB2312" w:cs="Times New Roman"/>
          <w:sz w:val="32"/>
          <w:szCs w:val="32"/>
          <w:lang w:eastAsia="zh-CN"/>
        </w:rPr>
        <w:t>。</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本项目预算执行率为96.79%</w:t>
      </w:r>
      <w:r>
        <w:rPr>
          <w:rFonts w:hint="eastAsia" w:ascii="Times New Roman" w:hAnsi="Times New Roman" w:eastAsia="仿宋_GB2312" w:cs="Times New Roman"/>
          <w:sz w:val="32"/>
          <w:szCs w:val="32"/>
          <w:lang w:eastAsia="zh-CN"/>
        </w:rPr>
        <w:t>，该项标准分值为4分，实际</w:t>
      </w:r>
      <w:r>
        <w:rPr>
          <w:rFonts w:ascii="Times New Roman" w:hAnsi="Times New Roman" w:eastAsia="仿宋_GB2312" w:cs="Times New Roman"/>
          <w:sz w:val="32"/>
          <w:szCs w:val="32"/>
          <w:lang w:eastAsia="zh-CN"/>
        </w:rPr>
        <w:t>得分</w:t>
      </w:r>
      <w:r>
        <w:rPr>
          <w:rFonts w:hint="eastAsia" w:ascii="Times New Roman" w:hAnsi="Times New Roman" w:eastAsia="仿宋_GB2312" w:cs="Times New Roman"/>
          <w:sz w:val="32"/>
          <w:szCs w:val="32"/>
          <w:lang w:eastAsia="zh-CN"/>
        </w:rPr>
        <w:t>为4×</w:t>
      </w:r>
      <w:r>
        <w:rPr>
          <w:rFonts w:ascii="Times New Roman" w:hAnsi="Times New Roman" w:eastAsia="仿宋_GB2312" w:cs="Times New Roman"/>
          <w:sz w:val="32"/>
          <w:szCs w:val="32"/>
          <w:lang w:eastAsia="zh-CN"/>
        </w:rPr>
        <w:t>96.79%</w:t>
      </w:r>
      <w:r>
        <w:rPr>
          <w:rFonts w:hint="eastAsia" w:ascii="Times New Roman" w:hAnsi="Times New Roman" w:eastAsia="仿宋_GB2312" w:cs="Times New Roman"/>
          <w:sz w:val="32"/>
          <w:szCs w:val="32"/>
          <w:lang w:eastAsia="zh-CN"/>
        </w:rPr>
        <w:t>=3.87</w:t>
      </w:r>
      <w:r>
        <w:rPr>
          <w:rFonts w:ascii="Times New Roman" w:hAnsi="Times New Roman" w:eastAsia="仿宋_GB2312" w:cs="Times New Roman"/>
          <w:sz w:val="32"/>
          <w:szCs w:val="32"/>
          <w:lang w:eastAsia="zh-CN"/>
        </w:rPr>
        <w:t>分</w:t>
      </w:r>
      <w:r>
        <w:rPr>
          <w:rFonts w:hint="eastAsia" w:ascii="Times New Roman" w:hAnsi="Times New Roman" w:eastAsia="仿宋_GB2312" w:cs="Times New Roman"/>
          <w:sz w:val="32"/>
          <w:szCs w:val="32"/>
          <w:lang w:eastAsia="zh-CN"/>
        </w:rPr>
        <w:t>。</w:t>
      </w:r>
    </w:p>
    <w:p>
      <w:pPr>
        <w:spacing w:line="300" w:lineRule="auto"/>
        <w:jc w:val="both"/>
        <w:outlineLvl w:val="2"/>
        <w:rPr>
          <w:rFonts w:ascii="Times New Roman" w:hAnsi="Times New Roman" w:eastAsia="仿宋_GB2312" w:cs="Times New Roman"/>
          <w:b/>
          <w:sz w:val="32"/>
          <w:szCs w:val="32"/>
          <w:lang w:eastAsia="zh-CN"/>
        </w:rPr>
      </w:pPr>
      <w:bookmarkStart w:id="96" w:name="_Toc107933414"/>
      <w:bookmarkStart w:id="97" w:name="_Toc63706277"/>
      <w:bookmarkStart w:id="98" w:name="_Toc83563142"/>
      <w:r>
        <w:rPr>
          <w:rFonts w:ascii="Times New Roman" w:hAnsi="Times New Roman" w:eastAsia="仿宋_GB2312" w:cs="Times New Roman"/>
          <w:b/>
          <w:sz w:val="32"/>
          <w:szCs w:val="32"/>
          <w:lang w:eastAsia="zh-CN"/>
        </w:rPr>
        <w:t>3.资金使用合规性</w:t>
      </w:r>
      <w:bookmarkEnd w:id="96"/>
      <w:bookmarkEnd w:id="97"/>
      <w:bookmarkEnd w:id="98"/>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1）本项目的预算编制符合《中华人民共和国预算法》《天津东疆保税港区管理委员会财政预算管理暂行办法》等法律法规和政策办法进行部门预算的编制。本项目符合国家财政法规和财务管理制度。</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2）本项目资金申请审批文件齐全</w:t>
      </w:r>
      <w:r>
        <w:rPr>
          <w:rFonts w:ascii="Times New Roman" w:hAnsi="Times New Roman" w:eastAsia="仿宋_GB2312" w:cs="Times New Roman"/>
          <w:sz w:val="32"/>
          <w:szCs w:val="32"/>
          <w:lang w:eastAsia="zh-CN"/>
        </w:rPr>
        <w:t>，符合审批文件的相关要求</w:t>
      </w:r>
      <w:r>
        <w:rPr>
          <w:rFonts w:hint="eastAsia" w:ascii="Times New Roman" w:hAnsi="Times New Roman" w:eastAsia="仿宋_GB2312" w:cs="Times New Roman"/>
          <w:sz w:val="32"/>
          <w:szCs w:val="32"/>
          <w:lang w:eastAsia="zh-CN"/>
        </w:rPr>
        <w:t>，申请批复文件如下表4.2所示。</w:t>
      </w:r>
    </w:p>
    <w:p>
      <w:pPr>
        <w:spacing w:line="360" w:lineRule="auto"/>
        <w:jc w:val="center"/>
        <w:rPr>
          <w:rFonts w:ascii="Times New Roman" w:hAnsi="Times New Roman" w:eastAsia="仿宋_GB2312" w:cs="Times New Roman"/>
          <w:sz w:val="28"/>
          <w:szCs w:val="28"/>
          <w:lang w:eastAsia="zh-CN"/>
        </w:rPr>
      </w:pPr>
      <w:r>
        <w:rPr>
          <w:rFonts w:ascii="Times New Roman" w:hAnsi="Times New Roman" w:eastAsia="仿宋_GB2312" w:cs="Times New Roman"/>
          <w:sz w:val="28"/>
          <w:szCs w:val="28"/>
          <w:lang w:eastAsia="zh-CN"/>
        </w:rPr>
        <w:t>表</w:t>
      </w:r>
      <w:r>
        <w:rPr>
          <w:rFonts w:hint="eastAsia" w:ascii="Times New Roman" w:hAnsi="Times New Roman" w:eastAsia="仿宋_GB2312" w:cs="Times New Roman"/>
          <w:sz w:val="28"/>
          <w:szCs w:val="28"/>
          <w:lang w:eastAsia="zh-CN"/>
        </w:rPr>
        <w:t>4</w:t>
      </w:r>
      <w:r>
        <w:rPr>
          <w:rFonts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eastAsia="zh-CN"/>
        </w:rPr>
        <w:t>2</w:t>
      </w:r>
      <w:r>
        <w:rPr>
          <w:rFonts w:ascii="Times New Roman" w:hAnsi="Times New Roman" w:eastAsia="仿宋_GB2312" w:cs="Times New Roman"/>
          <w:sz w:val="28"/>
          <w:szCs w:val="28"/>
          <w:lang w:eastAsia="zh-CN"/>
        </w:rPr>
        <w:t xml:space="preserve"> </w:t>
      </w:r>
      <w:r>
        <w:rPr>
          <w:rFonts w:hint="eastAsia" w:ascii="Times New Roman" w:hAnsi="Times New Roman" w:eastAsia="仿宋_GB2312" w:cs="Times New Roman"/>
          <w:sz w:val="28"/>
          <w:szCs w:val="28"/>
          <w:lang w:eastAsia="zh-CN"/>
        </w:rPr>
        <w:t>项目资金批复文件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2497"/>
        <w:gridCol w:w="2634"/>
        <w:gridCol w:w="2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92" w:type="dxa"/>
            <w:vAlign w:val="center"/>
          </w:tcPr>
          <w:p>
            <w:pPr>
              <w:spacing w:line="440" w:lineRule="exact"/>
              <w:jc w:val="center"/>
              <w:rPr>
                <w:rFonts w:ascii="Times New Roman" w:hAnsi="Times New Roman" w:eastAsia="仿宋_GB2312" w:cs="Times New Roman"/>
                <w:b/>
                <w:sz w:val="28"/>
                <w:szCs w:val="28"/>
                <w:lang w:eastAsia="zh-CN"/>
              </w:rPr>
            </w:pPr>
            <w:r>
              <w:rPr>
                <w:rFonts w:hint="eastAsia" w:ascii="Times New Roman" w:hAnsi="Times New Roman" w:eastAsia="仿宋_GB2312" w:cs="Times New Roman"/>
                <w:b/>
                <w:sz w:val="28"/>
                <w:szCs w:val="28"/>
                <w:lang w:eastAsia="zh-CN"/>
              </w:rPr>
              <w:t>序号</w:t>
            </w:r>
          </w:p>
        </w:tc>
        <w:tc>
          <w:tcPr>
            <w:tcW w:w="2497" w:type="dxa"/>
            <w:vAlign w:val="center"/>
          </w:tcPr>
          <w:p>
            <w:pPr>
              <w:spacing w:line="440" w:lineRule="exact"/>
              <w:jc w:val="center"/>
              <w:rPr>
                <w:rFonts w:ascii="Times New Roman" w:hAnsi="Times New Roman" w:eastAsia="仿宋_GB2312" w:cs="Times New Roman"/>
                <w:b/>
                <w:sz w:val="28"/>
                <w:szCs w:val="28"/>
                <w:lang w:eastAsia="zh-CN"/>
              </w:rPr>
            </w:pPr>
            <w:r>
              <w:rPr>
                <w:rFonts w:hint="eastAsia" w:ascii="Times New Roman" w:hAnsi="Times New Roman" w:eastAsia="仿宋_GB2312" w:cs="Times New Roman"/>
                <w:b/>
                <w:sz w:val="28"/>
                <w:szCs w:val="28"/>
                <w:lang w:eastAsia="zh-CN"/>
              </w:rPr>
              <w:t>申请文件</w:t>
            </w:r>
          </w:p>
        </w:tc>
        <w:tc>
          <w:tcPr>
            <w:tcW w:w="2634" w:type="dxa"/>
            <w:vAlign w:val="center"/>
          </w:tcPr>
          <w:p>
            <w:pPr>
              <w:spacing w:line="440" w:lineRule="exact"/>
              <w:jc w:val="center"/>
              <w:rPr>
                <w:rFonts w:ascii="Times New Roman" w:hAnsi="Times New Roman" w:eastAsia="仿宋_GB2312" w:cs="Times New Roman"/>
                <w:b/>
                <w:sz w:val="28"/>
                <w:szCs w:val="28"/>
                <w:lang w:eastAsia="zh-CN"/>
              </w:rPr>
            </w:pPr>
            <w:r>
              <w:rPr>
                <w:rFonts w:hint="eastAsia" w:ascii="Times New Roman" w:hAnsi="Times New Roman" w:eastAsia="仿宋_GB2312" w:cs="Times New Roman"/>
                <w:b/>
                <w:sz w:val="28"/>
                <w:szCs w:val="28"/>
                <w:lang w:eastAsia="zh-CN"/>
              </w:rPr>
              <w:t>审批文件</w:t>
            </w:r>
          </w:p>
        </w:tc>
        <w:tc>
          <w:tcPr>
            <w:tcW w:w="2236" w:type="dxa"/>
            <w:vAlign w:val="center"/>
          </w:tcPr>
          <w:p>
            <w:pPr>
              <w:spacing w:line="440" w:lineRule="exact"/>
              <w:jc w:val="center"/>
              <w:rPr>
                <w:rFonts w:ascii="Times New Roman" w:hAnsi="Times New Roman" w:eastAsia="仿宋_GB2312" w:cs="Times New Roman"/>
                <w:b/>
                <w:sz w:val="28"/>
                <w:szCs w:val="28"/>
                <w:lang w:eastAsia="zh-CN"/>
              </w:rPr>
            </w:pPr>
            <w:r>
              <w:rPr>
                <w:rFonts w:hint="eastAsia" w:ascii="Times New Roman" w:hAnsi="Times New Roman" w:eastAsia="仿宋_GB2312" w:cs="Times New Roman"/>
                <w:b/>
                <w:sz w:val="28"/>
                <w:szCs w:val="28"/>
                <w:lang w:eastAsia="zh-CN"/>
              </w:rPr>
              <w:t>批复金额（元）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992" w:type="dxa"/>
            <w:vAlign w:val="center"/>
          </w:tcPr>
          <w:p>
            <w:pPr>
              <w:spacing w:line="440" w:lineRule="exact"/>
              <w:jc w:val="center"/>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1</w:t>
            </w:r>
          </w:p>
        </w:tc>
        <w:tc>
          <w:tcPr>
            <w:tcW w:w="2497" w:type="dxa"/>
            <w:vAlign w:val="center"/>
          </w:tcPr>
          <w:p>
            <w:pPr>
              <w:spacing w:line="440" w:lineRule="exact"/>
              <w:jc w:val="center"/>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津东疆市场发[2021]36号</w:t>
            </w:r>
          </w:p>
        </w:tc>
        <w:tc>
          <w:tcPr>
            <w:tcW w:w="2634" w:type="dxa"/>
            <w:vAlign w:val="center"/>
          </w:tcPr>
          <w:p>
            <w:pPr>
              <w:spacing w:line="440" w:lineRule="exact"/>
              <w:jc w:val="center"/>
              <w:rPr>
                <w:rFonts w:ascii="Times New Roman" w:hAnsi="Times New Roman" w:eastAsia="仿宋_GB2312" w:cs="Times New Roman"/>
                <w:sz w:val="28"/>
                <w:szCs w:val="28"/>
                <w:lang w:eastAsia="zh-CN"/>
              </w:rPr>
            </w:pPr>
            <w:r>
              <w:rPr>
                <w:rFonts w:hint="eastAsia" w:ascii="Times New Roman" w:hAnsi="Times New Roman" w:eastAsia="仿宋_GB2312"/>
                <w:sz w:val="28"/>
                <w:szCs w:val="28"/>
                <w:lang w:eastAsia="zh-CN"/>
              </w:rPr>
              <w:t>津东疆财预</w:t>
            </w:r>
            <w:r>
              <w:rPr>
                <w:rFonts w:ascii="Times New Roman" w:hAnsi="Times New Roman" w:eastAsia="仿宋_GB2312"/>
                <w:sz w:val="28"/>
                <w:szCs w:val="28"/>
                <w:lang w:eastAsia="zh-CN"/>
              </w:rPr>
              <w:t>[20</w:t>
            </w:r>
            <w:r>
              <w:rPr>
                <w:rFonts w:hint="eastAsia" w:ascii="Times New Roman" w:hAnsi="Times New Roman" w:eastAsia="仿宋_GB2312"/>
                <w:sz w:val="28"/>
                <w:szCs w:val="28"/>
                <w:lang w:eastAsia="zh-CN"/>
              </w:rPr>
              <w:t>21</w:t>
            </w:r>
            <w:r>
              <w:rPr>
                <w:rFonts w:ascii="Times New Roman" w:hAnsi="Times New Roman" w:eastAsia="仿宋_GB2312"/>
                <w:sz w:val="28"/>
                <w:szCs w:val="28"/>
                <w:lang w:eastAsia="zh-CN"/>
              </w:rPr>
              <w:t>]</w:t>
            </w:r>
            <w:r>
              <w:rPr>
                <w:rFonts w:hint="eastAsia" w:ascii="Times New Roman" w:hAnsi="Times New Roman" w:eastAsia="仿宋_GB2312"/>
                <w:sz w:val="28"/>
                <w:szCs w:val="28"/>
                <w:lang w:eastAsia="zh-CN"/>
              </w:rPr>
              <w:t>68号</w:t>
            </w:r>
          </w:p>
        </w:tc>
        <w:tc>
          <w:tcPr>
            <w:tcW w:w="2236" w:type="dxa"/>
            <w:vAlign w:val="center"/>
          </w:tcPr>
          <w:p>
            <w:pPr>
              <w:spacing w:line="440" w:lineRule="exact"/>
              <w:jc w:val="center"/>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168000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992" w:type="dxa"/>
            <w:vAlign w:val="center"/>
          </w:tcPr>
          <w:p>
            <w:pPr>
              <w:spacing w:line="440" w:lineRule="exact"/>
              <w:jc w:val="center"/>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2</w:t>
            </w:r>
          </w:p>
        </w:tc>
        <w:tc>
          <w:tcPr>
            <w:tcW w:w="2497" w:type="dxa"/>
            <w:vAlign w:val="center"/>
          </w:tcPr>
          <w:p>
            <w:pPr>
              <w:spacing w:line="440" w:lineRule="exact"/>
              <w:jc w:val="center"/>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津东疆市场发[2021]107号</w:t>
            </w:r>
          </w:p>
        </w:tc>
        <w:tc>
          <w:tcPr>
            <w:tcW w:w="2634" w:type="dxa"/>
            <w:vAlign w:val="center"/>
          </w:tcPr>
          <w:p>
            <w:pPr>
              <w:spacing w:line="440" w:lineRule="exact"/>
              <w:jc w:val="center"/>
              <w:rPr>
                <w:rFonts w:ascii="Times New Roman" w:hAnsi="Times New Roman" w:eastAsia="仿宋_GB2312" w:cs="Times New Roman"/>
                <w:sz w:val="28"/>
                <w:szCs w:val="28"/>
                <w:lang w:eastAsia="zh-CN"/>
              </w:rPr>
            </w:pPr>
            <w:r>
              <w:rPr>
                <w:rFonts w:hint="eastAsia" w:ascii="Times New Roman" w:hAnsi="Times New Roman" w:eastAsia="仿宋_GB2312"/>
                <w:sz w:val="28"/>
                <w:szCs w:val="28"/>
                <w:lang w:eastAsia="zh-CN"/>
              </w:rPr>
              <w:t>津东疆财预</w:t>
            </w:r>
            <w:r>
              <w:rPr>
                <w:rFonts w:ascii="Times New Roman" w:hAnsi="Times New Roman" w:eastAsia="仿宋_GB2312"/>
                <w:sz w:val="28"/>
                <w:szCs w:val="28"/>
                <w:lang w:eastAsia="zh-CN"/>
              </w:rPr>
              <w:t>[</w:t>
            </w:r>
            <w:r>
              <w:rPr>
                <w:rFonts w:hint="eastAsia" w:ascii="Times New Roman" w:hAnsi="Times New Roman" w:eastAsia="仿宋_GB2312"/>
                <w:sz w:val="28"/>
                <w:szCs w:val="28"/>
                <w:lang w:eastAsia="zh-CN"/>
              </w:rPr>
              <w:t>2021</w:t>
            </w:r>
            <w:r>
              <w:rPr>
                <w:rFonts w:ascii="Times New Roman" w:hAnsi="Times New Roman" w:eastAsia="仿宋_GB2312"/>
                <w:sz w:val="28"/>
                <w:szCs w:val="28"/>
                <w:lang w:eastAsia="zh-CN"/>
              </w:rPr>
              <w:t>]</w:t>
            </w:r>
            <w:r>
              <w:rPr>
                <w:rFonts w:hint="eastAsia" w:ascii="Times New Roman" w:hAnsi="Times New Roman" w:eastAsia="仿宋_GB2312"/>
                <w:sz w:val="28"/>
                <w:szCs w:val="28"/>
                <w:lang w:eastAsia="zh-CN"/>
              </w:rPr>
              <w:t>370号</w:t>
            </w:r>
          </w:p>
        </w:tc>
        <w:tc>
          <w:tcPr>
            <w:tcW w:w="2236" w:type="dxa"/>
            <w:vAlign w:val="center"/>
          </w:tcPr>
          <w:p>
            <w:pPr>
              <w:spacing w:line="440" w:lineRule="exact"/>
              <w:jc w:val="center"/>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992" w:type="dxa"/>
            <w:vAlign w:val="center"/>
          </w:tcPr>
          <w:p>
            <w:pPr>
              <w:spacing w:line="440" w:lineRule="exact"/>
              <w:jc w:val="center"/>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3</w:t>
            </w:r>
          </w:p>
        </w:tc>
        <w:tc>
          <w:tcPr>
            <w:tcW w:w="2497" w:type="dxa"/>
            <w:vAlign w:val="center"/>
          </w:tcPr>
          <w:p>
            <w:pPr>
              <w:spacing w:line="440" w:lineRule="exact"/>
              <w:jc w:val="center"/>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津东疆市场发[2021]234号</w:t>
            </w:r>
          </w:p>
        </w:tc>
        <w:tc>
          <w:tcPr>
            <w:tcW w:w="2634" w:type="dxa"/>
            <w:vAlign w:val="center"/>
          </w:tcPr>
          <w:p>
            <w:pPr>
              <w:spacing w:line="440" w:lineRule="exact"/>
              <w:jc w:val="center"/>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津东疆财预</w:t>
            </w:r>
            <w:r>
              <w:rPr>
                <w:rFonts w:ascii="Times New Roman" w:hAnsi="Times New Roman" w:eastAsia="仿宋_GB2312"/>
                <w:sz w:val="28"/>
                <w:szCs w:val="28"/>
                <w:lang w:eastAsia="zh-CN"/>
              </w:rPr>
              <w:t>[</w:t>
            </w:r>
            <w:r>
              <w:rPr>
                <w:rFonts w:hint="eastAsia" w:ascii="Times New Roman" w:hAnsi="Times New Roman" w:eastAsia="仿宋_GB2312"/>
                <w:sz w:val="28"/>
                <w:szCs w:val="28"/>
                <w:lang w:eastAsia="zh-CN"/>
              </w:rPr>
              <w:t>2021</w:t>
            </w:r>
            <w:r>
              <w:rPr>
                <w:rFonts w:ascii="Times New Roman" w:hAnsi="Times New Roman" w:eastAsia="仿宋_GB2312"/>
                <w:sz w:val="28"/>
                <w:szCs w:val="28"/>
                <w:lang w:eastAsia="zh-CN"/>
              </w:rPr>
              <w:t>]</w:t>
            </w:r>
            <w:r>
              <w:rPr>
                <w:rFonts w:hint="eastAsia" w:ascii="Times New Roman" w:hAnsi="Times New Roman" w:eastAsia="仿宋_GB2312"/>
                <w:sz w:val="28"/>
                <w:szCs w:val="28"/>
                <w:lang w:eastAsia="zh-CN"/>
              </w:rPr>
              <w:t>690号</w:t>
            </w:r>
          </w:p>
        </w:tc>
        <w:tc>
          <w:tcPr>
            <w:tcW w:w="2236" w:type="dxa"/>
            <w:vAlign w:val="center"/>
          </w:tcPr>
          <w:p>
            <w:pPr>
              <w:spacing w:line="440" w:lineRule="exact"/>
              <w:jc w:val="center"/>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756058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992" w:type="dxa"/>
            <w:vAlign w:val="center"/>
          </w:tcPr>
          <w:p>
            <w:pPr>
              <w:spacing w:line="440" w:lineRule="exact"/>
              <w:jc w:val="center"/>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4</w:t>
            </w:r>
          </w:p>
        </w:tc>
        <w:tc>
          <w:tcPr>
            <w:tcW w:w="2497" w:type="dxa"/>
            <w:vAlign w:val="center"/>
          </w:tcPr>
          <w:p>
            <w:pPr>
              <w:spacing w:line="440" w:lineRule="exact"/>
              <w:jc w:val="center"/>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津东疆市场发[2021]262号</w:t>
            </w:r>
          </w:p>
        </w:tc>
        <w:tc>
          <w:tcPr>
            <w:tcW w:w="2634" w:type="dxa"/>
            <w:vAlign w:val="center"/>
          </w:tcPr>
          <w:p>
            <w:pPr>
              <w:spacing w:line="440" w:lineRule="exact"/>
              <w:jc w:val="center"/>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津东疆财预</w:t>
            </w:r>
            <w:r>
              <w:rPr>
                <w:rFonts w:ascii="Times New Roman" w:hAnsi="Times New Roman" w:eastAsia="仿宋_GB2312"/>
                <w:sz w:val="28"/>
                <w:szCs w:val="28"/>
                <w:lang w:eastAsia="zh-CN"/>
              </w:rPr>
              <w:t>[</w:t>
            </w:r>
            <w:r>
              <w:rPr>
                <w:rFonts w:hint="eastAsia" w:ascii="Times New Roman" w:hAnsi="Times New Roman" w:eastAsia="仿宋_GB2312"/>
                <w:sz w:val="28"/>
                <w:szCs w:val="28"/>
                <w:lang w:eastAsia="zh-CN"/>
              </w:rPr>
              <w:t>2021</w:t>
            </w:r>
            <w:r>
              <w:rPr>
                <w:rFonts w:ascii="Times New Roman" w:hAnsi="Times New Roman" w:eastAsia="仿宋_GB2312"/>
                <w:sz w:val="28"/>
                <w:szCs w:val="28"/>
                <w:lang w:eastAsia="zh-CN"/>
              </w:rPr>
              <w:t>]</w:t>
            </w:r>
            <w:r>
              <w:rPr>
                <w:rFonts w:hint="eastAsia" w:ascii="Times New Roman" w:hAnsi="Times New Roman" w:eastAsia="仿宋_GB2312"/>
                <w:sz w:val="28"/>
                <w:szCs w:val="28"/>
                <w:lang w:eastAsia="zh-CN"/>
              </w:rPr>
              <w:t>843号</w:t>
            </w:r>
          </w:p>
        </w:tc>
        <w:tc>
          <w:tcPr>
            <w:tcW w:w="2236" w:type="dxa"/>
            <w:vAlign w:val="center"/>
          </w:tcPr>
          <w:p>
            <w:pPr>
              <w:spacing w:line="440" w:lineRule="exact"/>
              <w:jc w:val="center"/>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405632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23" w:type="dxa"/>
            <w:gridSpan w:val="3"/>
            <w:vAlign w:val="center"/>
          </w:tcPr>
          <w:p>
            <w:pPr>
              <w:spacing w:line="440" w:lineRule="exact"/>
              <w:jc w:val="center"/>
              <w:rPr>
                <w:rFonts w:ascii="Times New Roman" w:hAnsi="Times New Roman" w:eastAsia="仿宋_GB2312" w:cs="Times New Roman"/>
                <w:b/>
                <w:sz w:val="28"/>
                <w:szCs w:val="28"/>
                <w:lang w:eastAsia="zh-CN"/>
              </w:rPr>
            </w:pPr>
            <w:r>
              <w:rPr>
                <w:rFonts w:hint="eastAsia" w:ascii="Times New Roman" w:hAnsi="Times New Roman" w:eastAsia="仿宋_GB2312" w:cs="Times New Roman"/>
                <w:b/>
                <w:sz w:val="28"/>
                <w:szCs w:val="28"/>
                <w:lang w:eastAsia="zh-CN"/>
              </w:rPr>
              <w:t>合计</w:t>
            </w:r>
          </w:p>
        </w:tc>
        <w:tc>
          <w:tcPr>
            <w:tcW w:w="2236" w:type="dxa"/>
            <w:vAlign w:val="center"/>
          </w:tcPr>
          <w:p>
            <w:pPr>
              <w:spacing w:line="440" w:lineRule="exact"/>
              <w:jc w:val="center"/>
              <w:rPr>
                <w:rFonts w:ascii="Times New Roman" w:hAnsi="Times New Roman" w:eastAsia="仿宋_GB2312" w:cs="Times New Roman"/>
                <w:sz w:val="28"/>
                <w:szCs w:val="28"/>
                <w:lang w:eastAsia="zh-CN"/>
              </w:rPr>
            </w:pPr>
            <w:r>
              <w:rPr>
                <w:rFonts w:hint="eastAsia" w:ascii="Times New Roman" w:hAnsi="Times New Roman" w:eastAsia="仿宋_GB2312" w:cs="Times New Roman"/>
                <w:b/>
                <w:sz w:val="28"/>
                <w:szCs w:val="28"/>
                <w:lang w:eastAsia="zh-CN"/>
              </w:rPr>
              <w:t>1809700</w:t>
            </w:r>
          </w:p>
        </w:tc>
      </w:tr>
    </w:tbl>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宋体" w:cs="Times New Roman"/>
          <w:sz w:val="32"/>
          <w:szCs w:val="32"/>
          <w:lang w:eastAsia="zh-CN"/>
        </w:rPr>
        <w:t>3）</w:t>
      </w:r>
      <w:r>
        <w:rPr>
          <w:rFonts w:hint="eastAsia" w:ascii="Times New Roman" w:hAnsi="Times New Roman" w:eastAsia="仿宋_GB2312" w:cs="Times New Roman"/>
          <w:sz w:val="32"/>
          <w:szCs w:val="32"/>
          <w:lang w:eastAsia="zh-CN"/>
        </w:rPr>
        <w:t>项目实施单位经过预算审核后，分别与各服务单位</w:t>
      </w:r>
      <w:r>
        <w:rPr>
          <w:rFonts w:ascii="Times New Roman" w:hAnsi="Times New Roman" w:eastAsia="仿宋_GB2312" w:cs="Times New Roman"/>
          <w:sz w:val="32"/>
          <w:szCs w:val="32"/>
          <w:lang w:eastAsia="zh-CN"/>
        </w:rPr>
        <w:t>签订了</w:t>
      </w:r>
      <w:r>
        <w:rPr>
          <w:rFonts w:hint="eastAsia" w:ascii="Times New Roman" w:hAnsi="Times New Roman" w:eastAsia="仿宋_GB2312" w:cs="Times New Roman"/>
          <w:sz w:val="32"/>
          <w:szCs w:val="32"/>
          <w:lang w:eastAsia="zh-CN"/>
        </w:rPr>
        <w:t>委托服务合同</w:t>
      </w:r>
      <w:r>
        <w:rPr>
          <w:rFonts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合同的</w:t>
      </w:r>
      <w:r>
        <w:rPr>
          <w:rFonts w:ascii="Times New Roman" w:hAnsi="Times New Roman" w:eastAsia="仿宋_GB2312" w:cs="Times New Roman"/>
          <w:sz w:val="32"/>
          <w:szCs w:val="32"/>
          <w:lang w:eastAsia="zh-CN"/>
        </w:rPr>
        <w:t>服务内容与申请和审批文件相符。</w:t>
      </w:r>
    </w:p>
    <w:p>
      <w:pPr>
        <w:spacing w:line="300" w:lineRule="auto"/>
        <w:ind w:firstLine="640" w:firstLineChars="200"/>
        <w:jc w:val="both"/>
        <w:rPr>
          <w:rFonts w:ascii="Times New Roman" w:hAnsi="Times New Roman" w:eastAsia="宋体" w:cs="Times New Roman"/>
          <w:sz w:val="32"/>
          <w:szCs w:val="32"/>
          <w:lang w:eastAsia="zh-CN"/>
        </w:rPr>
      </w:pPr>
      <w:r>
        <w:rPr>
          <w:rFonts w:hint="eastAsia" w:ascii="Times New Roman" w:hAnsi="Times New Roman" w:eastAsia="仿宋_GB2312" w:cs="Times New Roman"/>
          <w:sz w:val="32"/>
          <w:szCs w:val="32"/>
          <w:lang w:eastAsia="zh-CN"/>
        </w:rPr>
        <w:t>4）根据《天津东疆保税港区管理委员会财政预算管理暂行办法》，其中第四章财政预算执行中，第三十条指出主管预算部门不得擅自截留、滞留、挪用所属预算单位的预算资金。本项目预算资金不存在截留、挤占、挪用、虚列支出等情况。</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w:t>
      </w:r>
      <w:r>
        <w:rPr>
          <w:rFonts w:ascii="Times New Roman" w:hAnsi="Times New Roman" w:eastAsia="仿宋_GB2312" w:cs="Times New Roman"/>
          <w:sz w:val="32"/>
          <w:szCs w:val="32"/>
          <w:lang w:eastAsia="zh-CN"/>
        </w:rPr>
        <w:t>项目资金的使用符合国家财经法规和财务管理制度以及有关专项资金管理办法的规定，有完整的审批程序和手续</w:t>
      </w:r>
      <w:r>
        <w:rPr>
          <w:rFonts w:hint="eastAsia" w:ascii="Times New Roman" w:hAnsi="Times New Roman" w:eastAsia="仿宋_GB2312" w:cs="Times New Roman"/>
          <w:sz w:val="32"/>
          <w:szCs w:val="32"/>
          <w:lang w:eastAsia="zh-CN"/>
        </w:rPr>
        <w:t>，符合项目的预算批复或合同规定的用途，不存在截留、挤占、挪用、虚列支出等情况，基本符合评分标准要求。</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该项标准分值4分，实际得分为4分。</w:t>
      </w:r>
    </w:p>
    <w:p>
      <w:pPr>
        <w:spacing w:line="300" w:lineRule="auto"/>
        <w:jc w:val="both"/>
        <w:outlineLvl w:val="2"/>
        <w:rPr>
          <w:rFonts w:ascii="Times New Roman" w:hAnsi="Times New Roman" w:eastAsia="仿宋_GB2312" w:cs="Times New Roman"/>
          <w:b/>
          <w:sz w:val="32"/>
          <w:szCs w:val="32"/>
          <w:lang w:eastAsia="zh-CN"/>
        </w:rPr>
      </w:pPr>
      <w:bookmarkStart w:id="99" w:name="_Toc63706278"/>
      <w:bookmarkStart w:id="100" w:name="_Toc83563143"/>
      <w:bookmarkStart w:id="101" w:name="_Toc107933415"/>
      <w:r>
        <w:rPr>
          <w:rFonts w:ascii="Times New Roman" w:hAnsi="Times New Roman" w:eastAsia="仿宋_GB2312" w:cs="Times New Roman"/>
          <w:b/>
          <w:sz w:val="32"/>
          <w:szCs w:val="32"/>
          <w:lang w:eastAsia="zh-CN"/>
        </w:rPr>
        <w:t>4.管理制度健全性</w:t>
      </w:r>
      <w:bookmarkEnd w:id="99"/>
      <w:bookmarkEnd w:id="100"/>
      <w:bookmarkEnd w:id="101"/>
    </w:p>
    <w:p>
      <w:pPr>
        <w:spacing w:line="300" w:lineRule="auto"/>
        <w:jc w:val="both"/>
        <w:outlineLvl w:val="3"/>
        <w:rPr>
          <w:rFonts w:ascii="Times New Roman" w:hAnsi="Times New Roman" w:eastAsia="仿宋_GB2312"/>
          <w:sz w:val="32"/>
          <w:szCs w:val="32"/>
          <w:lang w:eastAsia="zh-CN"/>
        </w:rPr>
      </w:pPr>
      <w:r>
        <w:rPr>
          <w:rFonts w:ascii="Times New Roman" w:hAnsi="Times New Roman" w:eastAsia="仿宋_GB2312"/>
          <w:sz w:val="32"/>
          <w:szCs w:val="32"/>
          <w:lang w:eastAsia="zh-CN"/>
        </w:rPr>
        <w:t>（</w:t>
      </w:r>
      <w:r>
        <w:rPr>
          <w:rFonts w:hint="eastAsia" w:ascii="Times New Roman" w:hAnsi="Times New Roman" w:eastAsia="仿宋_GB2312"/>
          <w:sz w:val="32"/>
          <w:szCs w:val="32"/>
          <w:lang w:eastAsia="zh-CN"/>
        </w:rPr>
        <w:t>1</w:t>
      </w:r>
      <w:r>
        <w:rPr>
          <w:rFonts w:ascii="Times New Roman" w:hAnsi="Times New Roman" w:eastAsia="仿宋_GB2312"/>
          <w:sz w:val="32"/>
          <w:szCs w:val="32"/>
          <w:lang w:eastAsia="zh-CN"/>
        </w:rPr>
        <w:t>）实际执行情况分析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本项目财务管理制度执行管委会制定的</w:t>
      </w:r>
      <w:r>
        <w:rPr>
          <w:rFonts w:hint="eastAsia" w:ascii="Times New Roman" w:hAnsi="Times New Roman" w:eastAsia="仿宋_GB2312"/>
          <w:sz w:val="32"/>
          <w:szCs w:val="32"/>
          <w:lang w:eastAsia="zh-CN"/>
        </w:rPr>
        <w:t>《天津东疆保税港区管理委员会财政预算管理办法》，财务管理制度合法、合规、完整，但实施单位缺少相应的业务管理制度。</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sz w:val="32"/>
          <w:szCs w:val="32"/>
          <w:lang w:eastAsia="zh-CN"/>
        </w:rPr>
        <w:t>（</w:t>
      </w:r>
      <w:r>
        <w:rPr>
          <w:rFonts w:hint="eastAsia" w:ascii="Times New Roman" w:hAnsi="Times New Roman" w:eastAsia="仿宋_GB2312"/>
          <w:sz w:val="32"/>
          <w:szCs w:val="32"/>
          <w:lang w:eastAsia="zh-CN"/>
        </w:rPr>
        <w:t>2</w:t>
      </w:r>
      <w:r>
        <w:rPr>
          <w:rFonts w:ascii="Times New Roman" w:hAnsi="Times New Roman" w:eastAsia="仿宋_GB2312"/>
          <w:sz w:val="32"/>
          <w:szCs w:val="32"/>
          <w:lang w:eastAsia="zh-CN"/>
        </w:rPr>
        <w:t>）评价结论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项目实施单位的财务管理制度合法、合规、完整。但缺少相应的业务管理制度。该项标准分值4分，得分3分。</w:t>
      </w:r>
    </w:p>
    <w:p>
      <w:pPr>
        <w:spacing w:line="300" w:lineRule="auto"/>
        <w:jc w:val="both"/>
        <w:outlineLvl w:val="2"/>
        <w:rPr>
          <w:rFonts w:ascii="Times New Roman" w:hAnsi="Times New Roman" w:eastAsia="仿宋_GB2312" w:cs="Times New Roman"/>
          <w:b/>
          <w:sz w:val="32"/>
          <w:szCs w:val="32"/>
          <w:lang w:eastAsia="zh-CN"/>
        </w:rPr>
      </w:pPr>
      <w:bookmarkStart w:id="102" w:name="_Toc107933416"/>
      <w:bookmarkStart w:id="103" w:name="_Toc83563144"/>
      <w:bookmarkStart w:id="104" w:name="_Toc63706279"/>
      <w:r>
        <w:rPr>
          <w:rFonts w:ascii="Times New Roman" w:hAnsi="Times New Roman" w:eastAsia="仿宋_GB2312" w:cs="Times New Roman"/>
          <w:b/>
          <w:sz w:val="32"/>
          <w:szCs w:val="32"/>
          <w:lang w:eastAsia="zh-CN"/>
        </w:rPr>
        <w:t>5.制度执行有效性</w:t>
      </w:r>
      <w:bookmarkEnd w:id="102"/>
      <w:bookmarkEnd w:id="103"/>
      <w:bookmarkEnd w:id="104"/>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本项目的实施符合《关于印发&lt;2021年天津市滨海新区流通领域产品质量监督抽查工作计划&gt;的通知》（津滨市场监管质监[2021]9号）《滨海新区市场监督管理局落实&lt;天津市撤销冒用他人身份信息取得公司登记工作操作规程&gt;的指导意见》（津滨市场监管政服[2019]111号）《区市场监管局 区政务服务办关于印发&lt;部分园区转供电不合理加价专项整治工作方案&gt;的通知》（津滨市场监管价格[2021]5号）等文件的的要求。</w:t>
      </w:r>
    </w:p>
    <w:p>
      <w:pPr>
        <w:spacing w:line="300" w:lineRule="auto"/>
        <w:ind w:firstLine="640" w:firstLineChars="200"/>
        <w:jc w:val="both"/>
        <w:rPr>
          <w:rFonts w:ascii="Times New Roman" w:hAnsi="Times New Roman" w:eastAsia="仿宋_GB2312" w:cs="Times New Roman"/>
          <w:kern w:val="2"/>
          <w:sz w:val="32"/>
          <w:szCs w:val="32"/>
          <w:lang w:eastAsia="zh-CN"/>
        </w:rPr>
      </w:pPr>
      <w:r>
        <w:rPr>
          <w:rFonts w:hint="eastAsia" w:ascii="Times New Roman" w:hAnsi="Times New Roman" w:eastAsia="仿宋_GB2312" w:cs="Times New Roman"/>
          <w:sz w:val="32"/>
          <w:szCs w:val="32"/>
          <w:lang w:eastAsia="zh-CN"/>
        </w:rPr>
        <w:t>2）</w:t>
      </w:r>
      <w:r>
        <w:rPr>
          <w:rFonts w:hint="eastAsia" w:ascii="Times New Roman" w:hAnsi="Times New Roman" w:eastAsia="仿宋_GB2312" w:cs="Times New Roman"/>
          <w:kern w:val="2"/>
          <w:sz w:val="32"/>
          <w:szCs w:val="32"/>
          <w:lang w:eastAsia="zh-CN"/>
        </w:rPr>
        <w:t>2021年10月19日，东疆保税港区市场监督管理局2021年度部门中期调整预算获得财政局的批复（津东疆财预指[2021]31号），其中“市场监管业务”项目中期调整后预算为1809700元。项目调整及支出调整手续完备；</w:t>
      </w:r>
    </w:p>
    <w:p>
      <w:pPr>
        <w:spacing w:line="300" w:lineRule="auto"/>
        <w:ind w:firstLine="640" w:firstLineChars="200"/>
        <w:jc w:val="both"/>
        <w:rPr>
          <w:rFonts w:ascii="Times New Roman" w:hAnsi="Times New Roman" w:eastAsia="仿宋_GB2312" w:cs="Times New Roman"/>
          <w:sz w:val="32"/>
          <w:szCs w:val="32"/>
          <w:lang w:eastAsia="zh-CN"/>
        </w:rPr>
        <w:sectPr>
          <w:pgSz w:w="11906" w:h="16838"/>
          <w:pgMar w:top="1440" w:right="1800" w:bottom="1440" w:left="1800" w:header="851" w:footer="992" w:gutter="0"/>
          <w:cols w:space="425" w:num="1"/>
          <w:docGrid w:type="lines" w:linePitch="312" w:charSpace="0"/>
        </w:sectPr>
      </w:pPr>
      <w:r>
        <w:rPr>
          <w:rFonts w:hint="eastAsia" w:ascii="Times New Roman" w:hAnsi="Times New Roman" w:eastAsia="仿宋_GB2312" w:cs="Times New Roman"/>
          <w:sz w:val="32"/>
          <w:szCs w:val="32"/>
          <w:lang w:eastAsia="zh-CN"/>
        </w:rPr>
        <w:t>3）本项目所涉及合同、过程资料、成果文件、履约验收报告齐全并及时归档，主要抽查项目详见表4.3。</w:t>
      </w:r>
      <w:r>
        <w:rPr>
          <w:rFonts w:ascii="Times New Roman" w:hAnsi="Times New Roman" w:eastAsia="仿宋_GB2312" w:cs="Times New Roman"/>
          <w:sz w:val="32"/>
          <w:szCs w:val="32"/>
          <w:lang w:eastAsia="zh-CN"/>
        </w:rPr>
        <w:t xml:space="preserve"> </w:t>
      </w:r>
    </w:p>
    <w:p>
      <w:pPr>
        <w:spacing w:line="300" w:lineRule="auto"/>
        <w:jc w:val="center"/>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表4.3主要抽查项目资料清单</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
        <w:gridCol w:w="2821"/>
        <w:gridCol w:w="2251"/>
        <w:gridCol w:w="2536"/>
        <w:gridCol w:w="1931"/>
        <w:gridCol w:w="1967"/>
        <w:gridCol w:w="1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63" w:type="dxa"/>
            <w:vAlign w:val="center"/>
          </w:tcPr>
          <w:p>
            <w:pPr>
              <w:spacing w:line="400" w:lineRule="exact"/>
              <w:jc w:val="center"/>
              <w:rPr>
                <w:rFonts w:ascii="Times New Roman" w:hAnsi="Times New Roman" w:eastAsia="仿宋_GB2312" w:cs="Times New Roman"/>
                <w:b/>
                <w:sz w:val="24"/>
                <w:szCs w:val="24"/>
                <w:lang w:eastAsia="zh-CN"/>
              </w:rPr>
            </w:pPr>
            <w:r>
              <w:rPr>
                <w:rFonts w:ascii="Times New Roman" w:hAnsi="Times New Roman" w:eastAsia="仿宋_GB2312" w:cs="Times New Roman"/>
                <w:b/>
                <w:sz w:val="24"/>
                <w:szCs w:val="24"/>
                <w:lang w:eastAsia="zh-CN"/>
              </w:rPr>
              <w:t>序号</w:t>
            </w:r>
          </w:p>
        </w:tc>
        <w:tc>
          <w:tcPr>
            <w:tcW w:w="2849" w:type="dxa"/>
            <w:vAlign w:val="center"/>
          </w:tcPr>
          <w:p>
            <w:pPr>
              <w:spacing w:line="400" w:lineRule="exact"/>
              <w:jc w:val="center"/>
              <w:rPr>
                <w:rFonts w:ascii="Times New Roman" w:hAnsi="Times New Roman" w:eastAsia="仿宋_GB2312" w:cs="Times New Roman"/>
                <w:b/>
                <w:sz w:val="24"/>
                <w:szCs w:val="24"/>
                <w:lang w:eastAsia="zh-CN"/>
              </w:rPr>
            </w:pPr>
            <w:r>
              <w:rPr>
                <w:rFonts w:ascii="Times New Roman" w:hAnsi="Times New Roman" w:eastAsia="仿宋_GB2312" w:cs="Times New Roman"/>
                <w:b/>
                <w:sz w:val="24"/>
                <w:szCs w:val="24"/>
                <w:lang w:eastAsia="zh-CN"/>
              </w:rPr>
              <w:t>项目名称</w:t>
            </w:r>
          </w:p>
        </w:tc>
        <w:tc>
          <w:tcPr>
            <w:tcW w:w="2272" w:type="dxa"/>
            <w:vAlign w:val="center"/>
          </w:tcPr>
          <w:p>
            <w:pPr>
              <w:spacing w:line="400" w:lineRule="exact"/>
              <w:jc w:val="center"/>
              <w:rPr>
                <w:rFonts w:ascii="Times New Roman" w:hAnsi="Times New Roman" w:eastAsia="仿宋_GB2312" w:cs="Times New Roman"/>
                <w:b/>
                <w:sz w:val="24"/>
                <w:szCs w:val="24"/>
                <w:lang w:eastAsia="zh-CN"/>
              </w:rPr>
            </w:pPr>
            <w:r>
              <w:rPr>
                <w:rFonts w:ascii="Times New Roman" w:hAnsi="Times New Roman" w:eastAsia="仿宋_GB2312" w:cs="Times New Roman"/>
                <w:b/>
                <w:sz w:val="24"/>
                <w:szCs w:val="24"/>
                <w:lang w:eastAsia="zh-CN"/>
              </w:rPr>
              <w:t>合同名称</w:t>
            </w:r>
          </w:p>
        </w:tc>
        <w:tc>
          <w:tcPr>
            <w:tcW w:w="2560" w:type="dxa"/>
            <w:vAlign w:val="center"/>
          </w:tcPr>
          <w:p>
            <w:pPr>
              <w:spacing w:line="400" w:lineRule="exact"/>
              <w:jc w:val="center"/>
              <w:rPr>
                <w:rFonts w:ascii="Times New Roman" w:hAnsi="Times New Roman" w:eastAsia="仿宋_GB2312" w:cs="Times New Roman"/>
                <w:b/>
                <w:sz w:val="24"/>
                <w:szCs w:val="24"/>
                <w:lang w:eastAsia="zh-CN"/>
              </w:rPr>
            </w:pPr>
            <w:r>
              <w:rPr>
                <w:rFonts w:ascii="Times New Roman" w:hAnsi="Times New Roman" w:eastAsia="仿宋_GB2312" w:cs="Times New Roman"/>
                <w:b/>
                <w:sz w:val="24"/>
                <w:szCs w:val="24"/>
                <w:lang w:eastAsia="zh-CN"/>
              </w:rPr>
              <w:t>服务内容</w:t>
            </w:r>
          </w:p>
        </w:tc>
        <w:tc>
          <w:tcPr>
            <w:tcW w:w="1944" w:type="dxa"/>
            <w:vAlign w:val="center"/>
          </w:tcPr>
          <w:p>
            <w:pPr>
              <w:spacing w:line="400" w:lineRule="exact"/>
              <w:jc w:val="center"/>
              <w:rPr>
                <w:rFonts w:ascii="Times New Roman" w:hAnsi="Times New Roman" w:eastAsia="仿宋_GB2312" w:cs="Times New Roman"/>
                <w:b/>
                <w:sz w:val="24"/>
                <w:szCs w:val="24"/>
                <w:lang w:eastAsia="zh-CN"/>
              </w:rPr>
            </w:pPr>
            <w:r>
              <w:rPr>
                <w:rFonts w:ascii="Times New Roman" w:hAnsi="Times New Roman" w:eastAsia="仿宋_GB2312" w:cs="Times New Roman"/>
                <w:b/>
                <w:sz w:val="24"/>
                <w:szCs w:val="24"/>
                <w:lang w:eastAsia="zh-CN"/>
              </w:rPr>
              <w:t>合同金额</w:t>
            </w:r>
          </w:p>
        </w:tc>
        <w:tc>
          <w:tcPr>
            <w:tcW w:w="1984" w:type="dxa"/>
            <w:vAlign w:val="center"/>
          </w:tcPr>
          <w:p>
            <w:pPr>
              <w:spacing w:line="400" w:lineRule="exact"/>
              <w:jc w:val="center"/>
              <w:rPr>
                <w:rFonts w:ascii="Times New Roman" w:hAnsi="Times New Roman" w:eastAsia="仿宋_GB2312" w:cs="Times New Roman"/>
                <w:b/>
                <w:sz w:val="24"/>
                <w:szCs w:val="24"/>
                <w:lang w:eastAsia="zh-CN"/>
              </w:rPr>
            </w:pPr>
            <w:r>
              <w:rPr>
                <w:rFonts w:ascii="Times New Roman" w:hAnsi="Times New Roman" w:eastAsia="仿宋_GB2312" w:cs="Times New Roman"/>
                <w:b/>
                <w:sz w:val="24"/>
                <w:szCs w:val="24"/>
                <w:lang w:eastAsia="zh-CN"/>
              </w:rPr>
              <w:t>成果文件</w:t>
            </w:r>
          </w:p>
        </w:tc>
        <w:tc>
          <w:tcPr>
            <w:tcW w:w="1829" w:type="dxa"/>
            <w:vAlign w:val="center"/>
          </w:tcPr>
          <w:p>
            <w:pPr>
              <w:spacing w:line="400" w:lineRule="exact"/>
              <w:jc w:val="center"/>
              <w:rPr>
                <w:rFonts w:ascii="Times New Roman" w:hAnsi="Times New Roman" w:eastAsia="仿宋_GB2312" w:cs="Times New Roman"/>
                <w:b/>
                <w:sz w:val="24"/>
                <w:szCs w:val="24"/>
                <w:lang w:eastAsia="zh-CN"/>
              </w:rPr>
            </w:pPr>
            <w:r>
              <w:rPr>
                <w:rFonts w:ascii="Times New Roman" w:hAnsi="Times New Roman" w:eastAsia="仿宋_GB2312" w:cs="Times New Roman"/>
                <w:b/>
                <w:sz w:val="24"/>
                <w:szCs w:val="24"/>
                <w:lang w:eastAsia="zh-CN"/>
              </w:rPr>
              <w:t>履约验收报告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8" w:hRule="atLeast"/>
          <w:jc w:val="center"/>
        </w:trPr>
        <w:tc>
          <w:tcPr>
            <w:tcW w:w="863"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1</w:t>
            </w:r>
          </w:p>
        </w:tc>
        <w:tc>
          <w:tcPr>
            <w:tcW w:w="2849"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产品质量抽检工作</w:t>
            </w:r>
          </w:p>
        </w:tc>
        <w:tc>
          <w:tcPr>
            <w:tcW w:w="2272"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2021年度商品质量监督抽检项目合同</w:t>
            </w:r>
          </w:p>
        </w:tc>
        <w:tc>
          <w:tcPr>
            <w:tcW w:w="2560"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对商品质量安全监督抽检项目，工作内容包括：抽样、检测、数据汇总、结果报送、分析评估等工作。</w:t>
            </w:r>
          </w:p>
        </w:tc>
        <w:tc>
          <w:tcPr>
            <w:tcW w:w="1944"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不超过19.8万元，具体据实结算</w:t>
            </w:r>
          </w:p>
        </w:tc>
        <w:tc>
          <w:tcPr>
            <w:tcW w:w="1984"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费用明细清单/抽检报告</w:t>
            </w:r>
          </w:p>
        </w:tc>
        <w:tc>
          <w:tcPr>
            <w:tcW w:w="1829"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具备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6" w:hRule="atLeast"/>
          <w:jc w:val="center"/>
        </w:trPr>
        <w:tc>
          <w:tcPr>
            <w:tcW w:w="863" w:type="dxa"/>
            <w:vAlign w:val="center"/>
          </w:tcPr>
          <w:p>
            <w:pPr>
              <w:spacing w:line="400" w:lineRule="exact"/>
              <w:jc w:val="center"/>
              <w:rPr>
                <w:rFonts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2</w:t>
            </w:r>
          </w:p>
        </w:tc>
        <w:tc>
          <w:tcPr>
            <w:tcW w:w="2849"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餐饮环节食品抽检</w:t>
            </w:r>
          </w:p>
        </w:tc>
        <w:tc>
          <w:tcPr>
            <w:tcW w:w="2272"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抽检服务项目合同</w:t>
            </w:r>
          </w:p>
        </w:tc>
        <w:tc>
          <w:tcPr>
            <w:tcW w:w="2560"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对校园、工地、职工食堂、景观公园及周边商贩等餐饮环节食品进行抽检及检测服务</w:t>
            </w:r>
          </w:p>
        </w:tc>
        <w:tc>
          <w:tcPr>
            <w:tcW w:w="1944"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不超过30万元，具体据实结算</w:t>
            </w:r>
          </w:p>
        </w:tc>
        <w:tc>
          <w:tcPr>
            <w:tcW w:w="1984"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结算清单/</w:t>
            </w:r>
          </w:p>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抽检报告</w:t>
            </w:r>
          </w:p>
        </w:tc>
        <w:tc>
          <w:tcPr>
            <w:tcW w:w="1829"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具备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3" w:hRule="atLeast"/>
          <w:jc w:val="center"/>
        </w:trPr>
        <w:tc>
          <w:tcPr>
            <w:tcW w:w="863" w:type="dxa"/>
            <w:vAlign w:val="center"/>
          </w:tcPr>
          <w:p>
            <w:pPr>
              <w:spacing w:line="400" w:lineRule="exact"/>
              <w:jc w:val="center"/>
              <w:rPr>
                <w:rFonts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3</w:t>
            </w:r>
          </w:p>
        </w:tc>
        <w:tc>
          <w:tcPr>
            <w:tcW w:w="2849"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创城食品安全检查</w:t>
            </w:r>
          </w:p>
        </w:tc>
        <w:tc>
          <w:tcPr>
            <w:tcW w:w="2272"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创建食品安全示范城市食品安全检查服务合同</w:t>
            </w:r>
          </w:p>
        </w:tc>
        <w:tc>
          <w:tcPr>
            <w:tcW w:w="2560"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对东疆区域内食品经营企业进行食品安全风险排查，对存在问题提出整改意见并辅助企业改善</w:t>
            </w:r>
          </w:p>
        </w:tc>
        <w:tc>
          <w:tcPr>
            <w:tcW w:w="1944"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每户次1000元，合同金额以服务期实际发生为准</w:t>
            </w:r>
          </w:p>
        </w:tc>
        <w:tc>
          <w:tcPr>
            <w:tcW w:w="1984"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风险评估检查表</w:t>
            </w:r>
          </w:p>
        </w:tc>
        <w:tc>
          <w:tcPr>
            <w:tcW w:w="1829"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具备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pPr>
              <w:spacing w:line="400" w:lineRule="exact"/>
              <w:jc w:val="center"/>
              <w:rPr>
                <w:rFonts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4</w:t>
            </w:r>
          </w:p>
        </w:tc>
        <w:tc>
          <w:tcPr>
            <w:tcW w:w="2849"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企业年度信息及即时信息检查工作费用</w:t>
            </w:r>
          </w:p>
        </w:tc>
        <w:tc>
          <w:tcPr>
            <w:tcW w:w="2272"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2019年企业公示信息检查服务项目合同</w:t>
            </w:r>
          </w:p>
        </w:tc>
        <w:tc>
          <w:tcPr>
            <w:tcW w:w="2560"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协助采购人对企业2019年度年报信息、以往即时信息开展审计工作，包括但不限于审计、复审、作出专业结论、出具专业报告及相关辅助工作等。</w:t>
            </w:r>
          </w:p>
        </w:tc>
        <w:tc>
          <w:tcPr>
            <w:tcW w:w="1944"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最终以合同期内实际发生为准。服务费用按照730元/户计算。</w:t>
            </w:r>
          </w:p>
        </w:tc>
        <w:tc>
          <w:tcPr>
            <w:tcW w:w="1984"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审计报告书</w:t>
            </w:r>
          </w:p>
        </w:tc>
        <w:tc>
          <w:tcPr>
            <w:tcW w:w="1829"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具备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pPr>
              <w:spacing w:line="400" w:lineRule="exact"/>
              <w:jc w:val="center"/>
              <w:rPr>
                <w:rFonts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5</w:t>
            </w:r>
          </w:p>
        </w:tc>
        <w:tc>
          <w:tcPr>
            <w:tcW w:w="2849"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食品安全抽检</w:t>
            </w:r>
          </w:p>
        </w:tc>
        <w:tc>
          <w:tcPr>
            <w:tcW w:w="2272"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2021年食品安全监督抽检项目合同</w:t>
            </w:r>
          </w:p>
        </w:tc>
        <w:tc>
          <w:tcPr>
            <w:tcW w:w="2560"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预计33批次，详见附件。工作内容包括：抽样、检测、数据汇总、结果报送、分析评估等工作。</w:t>
            </w:r>
          </w:p>
        </w:tc>
        <w:tc>
          <w:tcPr>
            <w:tcW w:w="1944"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208090元</w:t>
            </w:r>
          </w:p>
        </w:tc>
        <w:tc>
          <w:tcPr>
            <w:tcW w:w="1984"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东疆食品安全监督抽检工作表</w:t>
            </w:r>
          </w:p>
        </w:tc>
        <w:tc>
          <w:tcPr>
            <w:tcW w:w="1829"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具备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pPr>
              <w:spacing w:line="400" w:lineRule="exact"/>
              <w:jc w:val="center"/>
              <w:rPr>
                <w:rFonts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6</w:t>
            </w:r>
          </w:p>
        </w:tc>
        <w:tc>
          <w:tcPr>
            <w:tcW w:w="2849"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药品器械经营、使用质量管理体系审查服务</w:t>
            </w:r>
          </w:p>
        </w:tc>
        <w:tc>
          <w:tcPr>
            <w:tcW w:w="2272"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药品医疗器械经营、使用质量管理体系审查服务项目合同</w:t>
            </w:r>
          </w:p>
        </w:tc>
        <w:tc>
          <w:tcPr>
            <w:tcW w:w="2560"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对药品医疗器械经营、使用质量管理体系进行审查</w:t>
            </w:r>
          </w:p>
        </w:tc>
        <w:tc>
          <w:tcPr>
            <w:tcW w:w="1944"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112750元</w:t>
            </w:r>
          </w:p>
        </w:tc>
        <w:tc>
          <w:tcPr>
            <w:tcW w:w="1984"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审查服务方案/审查报告</w:t>
            </w:r>
          </w:p>
        </w:tc>
        <w:tc>
          <w:tcPr>
            <w:tcW w:w="1829"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具备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pPr>
              <w:spacing w:line="400" w:lineRule="exact"/>
              <w:jc w:val="center"/>
              <w:rPr>
                <w:rFonts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7</w:t>
            </w:r>
          </w:p>
        </w:tc>
        <w:tc>
          <w:tcPr>
            <w:tcW w:w="2849"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药品器械应急预案</w:t>
            </w:r>
          </w:p>
        </w:tc>
        <w:tc>
          <w:tcPr>
            <w:tcW w:w="2272"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天津东疆保税港区市场监督管理局技术咨询服务协议</w:t>
            </w:r>
          </w:p>
        </w:tc>
        <w:tc>
          <w:tcPr>
            <w:tcW w:w="2560"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对药品化妆品医疗器械突发事件应急预案编制、突发事件桌面推演、突发事件应急演练</w:t>
            </w:r>
          </w:p>
        </w:tc>
        <w:tc>
          <w:tcPr>
            <w:tcW w:w="1944"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59980元</w:t>
            </w:r>
          </w:p>
        </w:tc>
        <w:tc>
          <w:tcPr>
            <w:tcW w:w="1984"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药品、医疗器械、化妆品安全突发事件应急预案</w:t>
            </w:r>
          </w:p>
        </w:tc>
        <w:tc>
          <w:tcPr>
            <w:tcW w:w="1829"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具备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pPr>
              <w:spacing w:line="400" w:lineRule="exact"/>
              <w:jc w:val="center"/>
              <w:rPr>
                <w:rFonts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8</w:t>
            </w:r>
          </w:p>
        </w:tc>
        <w:tc>
          <w:tcPr>
            <w:tcW w:w="2849"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鉴定费</w:t>
            </w:r>
          </w:p>
        </w:tc>
        <w:tc>
          <w:tcPr>
            <w:tcW w:w="2272"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不涉及</w:t>
            </w:r>
          </w:p>
        </w:tc>
        <w:tc>
          <w:tcPr>
            <w:tcW w:w="2560"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不涉及</w:t>
            </w:r>
          </w:p>
        </w:tc>
        <w:tc>
          <w:tcPr>
            <w:tcW w:w="1944"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不涉及</w:t>
            </w:r>
          </w:p>
        </w:tc>
        <w:tc>
          <w:tcPr>
            <w:tcW w:w="1984"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司法鉴定意见书</w:t>
            </w:r>
          </w:p>
        </w:tc>
        <w:tc>
          <w:tcPr>
            <w:tcW w:w="1829"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pPr>
              <w:spacing w:line="400" w:lineRule="exact"/>
              <w:jc w:val="center"/>
              <w:rPr>
                <w:rFonts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9</w:t>
            </w:r>
          </w:p>
        </w:tc>
        <w:tc>
          <w:tcPr>
            <w:tcW w:w="2849"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企业管理辅助信息服务</w:t>
            </w:r>
          </w:p>
        </w:tc>
        <w:tc>
          <w:tcPr>
            <w:tcW w:w="2272"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企业管理辅助信息服务项目合同</w:t>
            </w:r>
          </w:p>
        </w:tc>
        <w:tc>
          <w:tcPr>
            <w:tcW w:w="2560"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 xml:space="preserve">定期向企业推送提醒服务通知，督促企业依法依规经营；对企业信息公示年报及各企业专项报送工作进行定期提醒服务等多项服务 </w:t>
            </w:r>
          </w:p>
        </w:tc>
        <w:tc>
          <w:tcPr>
            <w:tcW w:w="1944"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594000元</w:t>
            </w:r>
          </w:p>
        </w:tc>
        <w:tc>
          <w:tcPr>
            <w:tcW w:w="1984"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各项工作台账</w:t>
            </w:r>
          </w:p>
        </w:tc>
        <w:tc>
          <w:tcPr>
            <w:tcW w:w="1829"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具备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pPr>
              <w:spacing w:line="400" w:lineRule="exact"/>
              <w:jc w:val="center"/>
              <w:rPr>
                <w:rFonts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10</w:t>
            </w:r>
          </w:p>
        </w:tc>
        <w:tc>
          <w:tcPr>
            <w:tcW w:w="2849"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转供电第三方服务费</w:t>
            </w:r>
          </w:p>
        </w:tc>
        <w:tc>
          <w:tcPr>
            <w:tcW w:w="2272"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业务约定书</w:t>
            </w:r>
          </w:p>
        </w:tc>
        <w:tc>
          <w:tcPr>
            <w:tcW w:w="2560" w:type="dxa"/>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对东疆转供电主体企业在2018年4月至2021年6月期间的电费支付和转供电费收取及退费情况进行审核</w:t>
            </w:r>
          </w:p>
        </w:tc>
        <w:tc>
          <w:tcPr>
            <w:tcW w:w="1944"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25800元</w:t>
            </w:r>
          </w:p>
        </w:tc>
        <w:tc>
          <w:tcPr>
            <w:tcW w:w="1984"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供电情况审核报告</w:t>
            </w:r>
          </w:p>
        </w:tc>
        <w:tc>
          <w:tcPr>
            <w:tcW w:w="1829" w:type="dxa"/>
            <w:vAlign w:val="center"/>
          </w:tcPr>
          <w:p>
            <w:pPr>
              <w:spacing w:line="400" w:lineRule="exact"/>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不涉及</w:t>
            </w:r>
          </w:p>
        </w:tc>
      </w:tr>
    </w:tbl>
    <w:p>
      <w:pPr>
        <w:spacing w:line="300" w:lineRule="auto"/>
        <w:ind w:firstLine="640" w:firstLineChars="200"/>
        <w:jc w:val="both"/>
        <w:rPr>
          <w:rFonts w:ascii="Times New Roman" w:hAnsi="Times New Roman" w:eastAsia="仿宋_GB2312" w:cs="Times New Roman"/>
          <w:sz w:val="32"/>
          <w:szCs w:val="32"/>
          <w:lang w:eastAsia="zh-CN"/>
        </w:rPr>
        <w:sectPr>
          <w:pgSz w:w="16838" w:h="11906" w:orient="landscape"/>
          <w:pgMar w:top="1800" w:right="1440" w:bottom="1800" w:left="1440" w:header="851" w:footer="992" w:gutter="0"/>
          <w:cols w:space="425" w:num="1"/>
          <w:docGrid w:type="lines" w:linePitch="312" w:charSpace="0"/>
        </w:sectPr>
      </w:pPr>
    </w:p>
    <w:p>
      <w:pPr>
        <w:spacing w:line="300" w:lineRule="auto"/>
        <w:ind w:firstLine="640" w:firstLineChars="200"/>
        <w:jc w:val="both"/>
        <w:rPr>
          <w:rFonts w:ascii="Times New Roman" w:hAnsi="Times New Roman" w:eastAsia="仿宋_GB2312" w:cs="Times New Roman"/>
          <w:sz w:val="32"/>
          <w:szCs w:val="32"/>
          <w:lang w:eastAsia="zh-CN"/>
        </w:rPr>
      </w:pP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w:t>
      </w:r>
      <w:r>
        <w:rPr>
          <w:rFonts w:ascii="Times New Roman" w:hAnsi="Times New Roman" w:eastAsia="仿宋_GB2312" w:cs="Times New Roman"/>
          <w:sz w:val="32"/>
          <w:szCs w:val="32"/>
          <w:lang w:eastAsia="zh-CN"/>
        </w:rPr>
        <w:t>项目的</w:t>
      </w:r>
      <w:r>
        <w:rPr>
          <w:rFonts w:hint="eastAsia" w:ascii="Times New Roman" w:hAnsi="Times New Roman" w:eastAsia="仿宋_GB2312" w:cs="Times New Roman"/>
          <w:sz w:val="32"/>
          <w:szCs w:val="32"/>
          <w:lang w:eastAsia="zh-CN"/>
        </w:rPr>
        <w:t>实施遵守相关法律法规和相关管理规定，调整及支出调整手续完备。项目合同书、成果文件及履约验收报告齐全并及时归档。该项标准分值4分，实际得分为4分。</w:t>
      </w:r>
    </w:p>
    <w:p>
      <w:pPr>
        <w:spacing w:line="300" w:lineRule="auto"/>
        <w:jc w:val="both"/>
        <w:outlineLvl w:val="1"/>
        <w:rPr>
          <w:rFonts w:ascii="Times New Roman" w:hAnsi="Times New Roman" w:eastAsia="仿宋_GB2312" w:cs="Times New Roman"/>
          <w:b/>
          <w:sz w:val="32"/>
          <w:szCs w:val="32"/>
          <w:lang w:eastAsia="zh-CN"/>
        </w:rPr>
      </w:pPr>
      <w:bookmarkStart w:id="105" w:name="_Toc112070434"/>
      <w:r>
        <w:rPr>
          <w:rFonts w:ascii="Times New Roman" w:hAnsi="Times New Roman" w:eastAsia="仿宋_GB2312" w:cs="Times New Roman"/>
          <w:b/>
          <w:sz w:val="32"/>
          <w:szCs w:val="32"/>
          <w:lang w:eastAsia="zh-CN"/>
        </w:rPr>
        <w:t>（三）项目产出情况</w:t>
      </w:r>
      <w:bookmarkEnd w:id="105"/>
    </w:p>
    <w:p>
      <w:pPr>
        <w:spacing w:line="300" w:lineRule="auto"/>
        <w:jc w:val="both"/>
        <w:outlineLvl w:val="2"/>
        <w:rPr>
          <w:rFonts w:ascii="Times New Roman" w:hAnsi="Times New Roman" w:eastAsia="仿宋_GB2312" w:cs="Times New Roman"/>
          <w:b/>
          <w:sz w:val="32"/>
          <w:szCs w:val="32"/>
          <w:lang w:eastAsia="zh-CN"/>
        </w:rPr>
      </w:pPr>
      <w:bookmarkStart w:id="106" w:name="_Toc83563146"/>
      <w:bookmarkStart w:id="107" w:name="_Toc107933418"/>
      <w:bookmarkStart w:id="108" w:name="_Toc63706281"/>
      <w:r>
        <w:rPr>
          <w:rFonts w:ascii="Times New Roman" w:hAnsi="Times New Roman" w:eastAsia="仿宋_GB2312" w:cs="Times New Roman"/>
          <w:b/>
          <w:sz w:val="32"/>
          <w:szCs w:val="32"/>
          <w:lang w:eastAsia="zh-CN"/>
        </w:rPr>
        <w:t>1.</w:t>
      </w:r>
      <w:bookmarkEnd w:id="106"/>
      <w:bookmarkEnd w:id="107"/>
      <w:bookmarkEnd w:id="108"/>
      <w:r>
        <w:rPr>
          <w:rFonts w:hint="eastAsia" w:ascii="Times New Roman" w:hAnsi="Times New Roman" w:eastAsia="仿宋_GB2312" w:cs="Times New Roman"/>
          <w:b/>
          <w:sz w:val="32"/>
          <w:szCs w:val="32"/>
          <w:lang w:eastAsia="zh-CN"/>
        </w:rPr>
        <w:t>商品质量安全抽检批次完成率</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根据《2021年度商品质量监督抽检项目合同》，本项目计划进行商品质量安全监督抽检32批次。经查阅《验收确认函》，本项目实际进行商品质量安全监督抽检32批次，即本项目商品质量安全抽检批次完成率为100%。</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本项目商品质量安全抽检批次完成率为100%，该项标准分值3分，实际得分为3分。</w:t>
      </w:r>
    </w:p>
    <w:p>
      <w:pPr>
        <w:spacing w:line="300" w:lineRule="auto"/>
        <w:jc w:val="both"/>
        <w:outlineLvl w:val="2"/>
        <w:rPr>
          <w:rFonts w:ascii="Times New Roman" w:hAnsi="Times New Roman" w:eastAsia="仿宋_GB2312" w:cs="Times New Roman"/>
          <w:b/>
          <w:sz w:val="32"/>
          <w:szCs w:val="32"/>
          <w:lang w:eastAsia="zh-CN"/>
        </w:rPr>
      </w:pPr>
      <w:bookmarkStart w:id="109" w:name="_Toc63706282"/>
      <w:bookmarkStart w:id="110" w:name="_Toc83563147"/>
      <w:bookmarkStart w:id="111" w:name="_Toc107933419"/>
      <w:r>
        <w:rPr>
          <w:rFonts w:ascii="Times New Roman" w:hAnsi="Times New Roman" w:eastAsia="仿宋_GB2312" w:cs="Times New Roman"/>
          <w:b/>
          <w:sz w:val="32"/>
          <w:szCs w:val="32"/>
          <w:lang w:eastAsia="zh-CN"/>
        </w:rPr>
        <w:t>2.</w:t>
      </w:r>
      <w:bookmarkEnd w:id="109"/>
      <w:bookmarkEnd w:id="110"/>
      <w:bookmarkEnd w:id="111"/>
      <w:r>
        <w:rPr>
          <w:rFonts w:hint="eastAsia" w:ascii="Times New Roman" w:hAnsi="Times New Roman" w:eastAsia="仿宋_GB2312" w:cs="Times New Roman"/>
          <w:b/>
          <w:sz w:val="32"/>
          <w:szCs w:val="32"/>
          <w:lang w:eastAsia="zh-CN"/>
        </w:rPr>
        <w:t>餐饮环节食品抽检批次完成率</w:t>
      </w:r>
    </w:p>
    <w:p>
      <w:pPr>
        <w:spacing w:line="300" w:lineRule="auto"/>
        <w:jc w:val="both"/>
        <w:outlineLvl w:val="3"/>
        <w:rPr>
          <w:rFonts w:ascii="Times New Roman" w:hAnsi="Times New Roman" w:eastAsia="仿宋_GB2312" w:cs="Times New Roman"/>
          <w:sz w:val="32"/>
          <w:szCs w:val="32"/>
          <w:lang w:eastAsia="zh-CN"/>
        </w:rPr>
      </w:pPr>
      <w:bookmarkStart w:id="112" w:name="_Toc107933420"/>
      <w:bookmarkStart w:id="113" w:name="_Toc63706283"/>
      <w:bookmarkStart w:id="114" w:name="_Toc83563148"/>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根据《抽检服务项目合同》，本项目计划进行食品安全监督抽检323批次。经查阅《验收确认函》，本项目实际进行食品安全监督抽检323批次，即本项目餐饮环节食品抽检批次完成率为100%。</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本项目餐饮环节食品抽检批次完成率为100%，该项标准分值3分，实际得分为3分。</w:t>
      </w:r>
    </w:p>
    <w:p>
      <w:pPr>
        <w:spacing w:line="300" w:lineRule="auto"/>
        <w:jc w:val="both"/>
        <w:outlineLvl w:val="2"/>
        <w:rPr>
          <w:rFonts w:ascii="Times New Roman" w:hAnsi="Times New Roman" w:eastAsia="仿宋_GB2312" w:cs="Times New Roman"/>
          <w:b/>
          <w:sz w:val="32"/>
          <w:szCs w:val="32"/>
          <w:lang w:eastAsia="zh-CN"/>
        </w:rPr>
      </w:pPr>
      <w:r>
        <w:rPr>
          <w:rFonts w:ascii="Times New Roman" w:hAnsi="Times New Roman" w:eastAsia="仿宋_GB2312" w:cs="Times New Roman"/>
          <w:b/>
          <w:sz w:val="32"/>
          <w:szCs w:val="32"/>
          <w:lang w:eastAsia="zh-CN"/>
        </w:rPr>
        <w:t>3.</w:t>
      </w:r>
      <w:bookmarkEnd w:id="112"/>
      <w:bookmarkEnd w:id="113"/>
      <w:bookmarkEnd w:id="114"/>
      <w:r>
        <w:rPr>
          <w:rFonts w:hint="eastAsia" w:ascii="Times New Roman" w:hAnsi="Times New Roman" w:eastAsia="仿宋_GB2312" w:cs="Times New Roman"/>
          <w:b/>
          <w:sz w:val="32"/>
          <w:szCs w:val="32"/>
          <w:lang w:eastAsia="zh-CN"/>
        </w:rPr>
        <w:t>食品经营企业风险评估家次完成率</w:t>
      </w:r>
    </w:p>
    <w:p>
      <w:pPr>
        <w:spacing w:line="300" w:lineRule="auto"/>
        <w:jc w:val="both"/>
        <w:outlineLvl w:val="3"/>
        <w:rPr>
          <w:rFonts w:ascii="Times New Roman" w:hAnsi="Times New Roman" w:eastAsia="仿宋_GB2312" w:cs="Times New Roman"/>
          <w:sz w:val="32"/>
          <w:szCs w:val="32"/>
          <w:lang w:eastAsia="zh-CN"/>
        </w:rPr>
      </w:pPr>
      <w:bookmarkStart w:id="115" w:name="_Toc63706284"/>
      <w:bookmarkStart w:id="116" w:name="_Toc107933421"/>
      <w:bookmarkStart w:id="117" w:name="_Toc83563149"/>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根据《创建食品安全示范城市食品安全检查服务合同》，本项目计划进行食品经营企业风险评估84家次。经查阅《天津东疆保税港区第一轮风险评估企业名单》，本项目实际进行食品经营企业风险评估84家次，即本项目食品经营企业风险评估家次完成率为100%。</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本项目食品经营企业风险评估家次完成率为100%，该项标准分值3分，实际得分为3分。</w:t>
      </w:r>
    </w:p>
    <w:p>
      <w:pPr>
        <w:spacing w:line="300" w:lineRule="auto"/>
        <w:jc w:val="both"/>
        <w:outlineLvl w:val="2"/>
        <w:rPr>
          <w:rFonts w:ascii="Times New Roman" w:hAnsi="Times New Roman" w:eastAsia="仿宋_GB2312" w:cs="Times New Roman"/>
          <w:b/>
          <w:sz w:val="32"/>
          <w:szCs w:val="32"/>
          <w:lang w:eastAsia="zh-CN"/>
        </w:rPr>
      </w:pPr>
      <w:r>
        <w:rPr>
          <w:rFonts w:hint="eastAsia" w:ascii="Times New Roman" w:hAnsi="Times New Roman" w:eastAsia="仿宋_GB2312" w:cs="Times New Roman"/>
          <w:b/>
          <w:sz w:val="32"/>
          <w:szCs w:val="32"/>
          <w:lang w:eastAsia="zh-CN"/>
        </w:rPr>
        <w:t>4</w:t>
      </w:r>
      <w:r>
        <w:rPr>
          <w:rFonts w:ascii="Times New Roman" w:hAnsi="Times New Roman" w:eastAsia="仿宋_GB2312" w:cs="Times New Roman"/>
          <w:b/>
          <w:sz w:val="32"/>
          <w:szCs w:val="32"/>
          <w:lang w:eastAsia="zh-CN"/>
        </w:rPr>
        <w:t>.</w:t>
      </w:r>
      <w:bookmarkEnd w:id="115"/>
      <w:bookmarkEnd w:id="116"/>
      <w:bookmarkEnd w:id="117"/>
      <w:r>
        <w:rPr>
          <w:rFonts w:hint="eastAsia" w:ascii="Times New Roman" w:hAnsi="Times New Roman" w:eastAsia="仿宋_GB2312" w:cs="Times New Roman"/>
          <w:b/>
          <w:sz w:val="32"/>
          <w:szCs w:val="32"/>
          <w:lang w:eastAsia="zh-CN"/>
        </w:rPr>
        <w:t>企业公示信息检查家次完成率</w:t>
      </w:r>
    </w:p>
    <w:p>
      <w:pPr>
        <w:spacing w:line="300" w:lineRule="auto"/>
        <w:jc w:val="both"/>
        <w:outlineLvl w:val="3"/>
        <w:rPr>
          <w:rFonts w:ascii="Times New Roman" w:hAnsi="Times New Roman" w:eastAsia="仿宋_GB2312" w:cs="Times New Roman"/>
          <w:sz w:val="32"/>
          <w:szCs w:val="32"/>
          <w:lang w:eastAsia="zh-CN"/>
        </w:rPr>
      </w:pPr>
      <w:bookmarkStart w:id="118" w:name="_Toc63706285"/>
      <w:bookmarkStart w:id="119" w:name="_Toc83563150"/>
      <w:bookmarkStart w:id="120" w:name="_Toc107933422"/>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根据《天津东疆保税港区市场监督管理局2019年企业公示信息检查服务项目合同》，本项目计划对486户企业信息开展核查工作。经查阅《验收确认函》，本项目实际对486户企业信息开展核查工作，即本项目企业公示信息检查家次完成率为100%。</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本项目企业公示信息检查家次完成率为100%，该项标准分值3分，实际得分为3分。</w:t>
      </w:r>
    </w:p>
    <w:p>
      <w:pPr>
        <w:spacing w:line="300" w:lineRule="auto"/>
        <w:jc w:val="both"/>
        <w:outlineLvl w:val="2"/>
        <w:rPr>
          <w:rFonts w:ascii="Times New Roman" w:hAnsi="Times New Roman" w:eastAsia="仿宋_GB2312" w:cs="Times New Roman"/>
          <w:b/>
          <w:sz w:val="32"/>
          <w:szCs w:val="32"/>
          <w:lang w:eastAsia="zh-CN"/>
        </w:rPr>
      </w:pPr>
      <w:r>
        <w:rPr>
          <w:rFonts w:hint="eastAsia" w:ascii="Times New Roman" w:hAnsi="Times New Roman" w:eastAsia="仿宋_GB2312" w:cs="Times New Roman"/>
          <w:b/>
          <w:sz w:val="32"/>
          <w:szCs w:val="32"/>
          <w:lang w:eastAsia="zh-CN"/>
        </w:rPr>
        <w:t>5</w:t>
      </w:r>
      <w:r>
        <w:rPr>
          <w:rFonts w:ascii="Times New Roman" w:hAnsi="Times New Roman" w:eastAsia="仿宋_GB2312" w:cs="Times New Roman"/>
          <w:b/>
          <w:sz w:val="32"/>
          <w:szCs w:val="32"/>
          <w:lang w:eastAsia="zh-CN"/>
        </w:rPr>
        <w:t>.</w:t>
      </w:r>
      <w:bookmarkEnd w:id="118"/>
      <w:bookmarkEnd w:id="119"/>
      <w:bookmarkEnd w:id="120"/>
      <w:r>
        <w:rPr>
          <w:rFonts w:hint="eastAsia" w:ascii="Times New Roman" w:hAnsi="Times New Roman" w:eastAsia="仿宋_GB2312" w:cs="Times New Roman"/>
          <w:b/>
          <w:sz w:val="32"/>
          <w:szCs w:val="32"/>
          <w:lang w:eastAsia="zh-CN"/>
        </w:rPr>
        <w:t>药品医疗器械经营审核家次完成率</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根据《药品医疗器械经营、使用质量管理体系审查服务项目合同》，本项目计划对药品医疗器械经营审核29家次。经查阅《验收确认函》，本项目实际对药品医疗器械经营审核29家次，即本项目药品医疗器械经营审核家次完成率为100%。</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本项目药品医疗器械经营审核家次完成率为100%，该项标准分值3分，实际得分为3分。</w:t>
      </w:r>
    </w:p>
    <w:p>
      <w:pPr>
        <w:spacing w:line="300" w:lineRule="auto"/>
        <w:jc w:val="both"/>
        <w:outlineLvl w:val="2"/>
        <w:rPr>
          <w:rFonts w:ascii="Times New Roman" w:hAnsi="Times New Roman" w:eastAsia="仿宋_GB2312" w:cs="Times New Roman"/>
          <w:b/>
          <w:sz w:val="32"/>
          <w:szCs w:val="32"/>
          <w:lang w:eastAsia="zh-CN"/>
        </w:rPr>
      </w:pPr>
      <w:r>
        <w:rPr>
          <w:rFonts w:hint="eastAsia" w:ascii="Times New Roman" w:hAnsi="Times New Roman" w:eastAsia="仿宋_GB2312" w:cs="Times New Roman"/>
          <w:b/>
          <w:sz w:val="32"/>
          <w:szCs w:val="32"/>
          <w:lang w:eastAsia="zh-CN"/>
        </w:rPr>
        <w:t>6</w:t>
      </w:r>
      <w:r>
        <w:rPr>
          <w:rFonts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lang w:eastAsia="zh-CN"/>
        </w:rPr>
        <w:t>药品应急预案、桌面推演数量完成率</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根据《应急预案技术咨询服务合同》，本项目计划完成药品安全应急预案编制及突然事件桌面推演，经查阅本项目相关成果文件，本项目的药品安全应急预案编制及突然事件桌面推演都已完成，即本项目药品应急预案、桌面推演数量完成率为100%。</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本项目药品应急预案、桌面推演数量完成率为100%，该项标准分值3分，实际得分为3分。</w:t>
      </w:r>
    </w:p>
    <w:p>
      <w:pPr>
        <w:spacing w:line="300" w:lineRule="auto"/>
        <w:jc w:val="both"/>
        <w:outlineLvl w:val="2"/>
        <w:rPr>
          <w:rFonts w:ascii="Times New Roman" w:hAnsi="Times New Roman" w:eastAsia="仿宋_GB2312" w:cs="Times New Roman"/>
          <w:b/>
          <w:sz w:val="32"/>
          <w:szCs w:val="32"/>
          <w:lang w:eastAsia="zh-CN"/>
        </w:rPr>
      </w:pPr>
      <w:r>
        <w:rPr>
          <w:rFonts w:hint="eastAsia" w:ascii="Times New Roman" w:hAnsi="Times New Roman" w:eastAsia="仿宋_GB2312" w:cs="Times New Roman"/>
          <w:b/>
          <w:sz w:val="32"/>
          <w:szCs w:val="32"/>
          <w:lang w:eastAsia="zh-CN"/>
        </w:rPr>
        <w:t>7</w:t>
      </w:r>
      <w:r>
        <w:rPr>
          <w:rFonts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lang w:eastAsia="zh-CN"/>
        </w:rPr>
        <w:t>企业管理辅助信息发送数量完成率</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根据《天津东疆保税港区市场监管局企业管理辅助信息服务项目合同》，本项目计划发送企业管理辅助信息2万户次以上。经查阅《验收确认函》，本项目实际发送企业管理辅助信息2万户次以上，即本项目企业管理辅助信息发送数量完成率为100%。</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本项目企业管理辅助信息发送数量完成率为100%，该项标准分值3分，实际得分为3分。</w:t>
      </w:r>
    </w:p>
    <w:p>
      <w:pPr>
        <w:spacing w:line="300" w:lineRule="auto"/>
        <w:jc w:val="both"/>
        <w:outlineLvl w:val="2"/>
        <w:rPr>
          <w:rFonts w:ascii="Times New Roman" w:hAnsi="Times New Roman" w:eastAsia="仿宋_GB2312" w:cs="Times New Roman"/>
          <w:b/>
          <w:sz w:val="32"/>
          <w:szCs w:val="32"/>
          <w:lang w:eastAsia="zh-CN"/>
        </w:rPr>
      </w:pPr>
      <w:r>
        <w:rPr>
          <w:rFonts w:hint="eastAsia" w:ascii="Times New Roman" w:hAnsi="Times New Roman" w:eastAsia="仿宋_GB2312" w:cs="Times New Roman"/>
          <w:b/>
          <w:sz w:val="32"/>
          <w:szCs w:val="32"/>
          <w:lang w:eastAsia="zh-CN"/>
        </w:rPr>
        <w:t>8</w:t>
      </w:r>
      <w:r>
        <w:rPr>
          <w:rFonts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lang w:eastAsia="zh-CN"/>
        </w:rPr>
        <w:t>食品、商品抽检工作验收合格率</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经查阅本项目食品、商品项目《验收确认函》，本项目的食品、商品抽检工作都已完成并验收。即本项目食品、商品抽检工作验收合格率为100%。</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本项目</w:t>
      </w:r>
      <w:r>
        <w:rPr>
          <w:rFonts w:hint="eastAsia" w:ascii="Times New Roman" w:hAnsi="Times New Roman" w:eastAsia="仿宋_GB2312" w:cs="Times New Roman"/>
          <w:sz w:val="32"/>
          <w:szCs w:val="32"/>
          <w:lang w:eastAsia="zh-CN"/>
        </w:rPr>
        <w:t>食品、商品抽检工作验收合格率</w:t>
      </w:r>
      <w:r>
        <w:rPr>
          <w:rFonts w:ascii="Times New Roman" w:hAnsi="Times New Roman" w:eastAsia="仿宋_GB2312" w:cs="Times New Roman"/>
          <w:sz w:val="32"/>
          <w:szCs w:val="32"/>
          <w:lang w:eastAsia="zh-CN"/>
        </w:rPr>
        <w:t>为</w:t>
      </w:r>
      <w:r>
        <w:rPr>
          <w:rFonts w:hint="eastAsia" w:ascii="Times New Roman" w:hAnsi="Times New Roman" w:eastAsia="仿宋_GB2312" w:cs="Times New Roman"/>
          <w:sz w:val="32"/>
          <w:szCs w:val="32"/>
          <w:lang w:eastAsia="zh-CN"/>
        </w:rPr>
        <w:t>100%，该项标准分值3分，实际得分为3分。</w:t>
      </w:r>
    </w:p>
    <w:p>
      <w:pPr>
        <w:spacing w:line="300" w:lineRule="auto"/>
        <w:jc w:val="both"/>
        <w:outlineLvl w:val="2"/>
        <w:rPr>
          <w:rFonts w:ascii="Times New Roman" w:hAnsi="Times New Roman" w:eastAsia="仿宋_GB2312" w:cs="Times New Roman"/>
          <w:b/>
          <w:sz w:val="32"/>
          <w:szCs w:val="32"/>
          <w:lang w:eastAsia="zh-CN"/>
        </w:rPr>
      </w:pPr>
      <w:r>
        <w:rPr>
          <w:rFonts w:hint="eastAsia" w:ascii="Times New Roman" w:hAnsi="Times New Roman" w:eastAsia="仿宋_GB2312" w:cs="Times New Roman"/>
          <w:b/>
          <w:sz w:val="32"/>
          <w:szCs w:val="32"/>
          <w:lang w:eastAsia="zh-CN"/>
        </w:rPr>
        <w:t>9</w:t>
      </w:r>
      <w:r>
        <w:rPr>
          <w:rFonts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lang w:eastAsia="zh-CN"/>
        </w:rPr>
        <w:t>企业经营审核验收合格率</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经查阅本项目企业公示信息及药品医疗器械经营审核项目《验收确认函》，本项目开展的企业公示信息检查及药品医疗器械经营审核工作已完成并验收。即本项目企业经营审核验收合格率为100%。</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本项目</w:t>
      </w:r>
      <w:r>
        <w:rPr>
          <w:rFonts w:hint="eastAsia" w:ascii="Times New Roman" w:hAnsi="Times New Roman" w:eastAsia="仿宋_GB2312" w:cs="Times New Roman"/>
          <w:sz w:val="32"/>
          <w:szCs w:val="32"/>
          <w:lang w:eastAsia="zh-CN"/>
        </w:rPr>
        <w:t>企业经营审核验收合格率</w:t>
      </w:r>
      <w:r>
        <w:rPr>
          <w:rFonts w:ascii="Times New Roman" w:hAnsi="Times New Roman" w:eastAsia="仿宋_GB2312" w:cs="Times New Roman"/>
          <w:sz w:val="32"/>
          <w:szCs w:val="32"/>
          <w:lang w:eastAsia="zh-CN"/>
        </w:rPr>
        <w:t>为</w:t>
      </w:r>
      <w:r>
        <w:rPr>
          <w:rFonts w:hint="eastAsia" w:ascii="Times New Roman" w:hAnsi="Times New Roman" w:eastAsia="仿宋_GB2312" w:cs="Times New Roman"/>
          <w:sz w:val="32"/>
          <w:szCs w:val="32"/>
          <w:lang w:eastAsia="zh-CN"/>
        </w:rPr>
        <w:t>100%，该项标准分值3分，实际得分为3分。</w:t>
      </w:r>
    </w:p>
    <w:p>
      <w:pPr>
        <w:spacing w:line="300" w:lineRule="auto"/>
        <w:jc w:val="both"/>
        <w:outlineLvl w:val="2"/>
        <w:rPr>
          <w:rFonts w:ascii="Times New Roman" w:hAnsi="Times New Roman" w:eastAsia="仿宋_GB2312" w:cs="Times New Roman"/>
          <w:b/>
          <w:sz w:val="32"/>
          <w:szCs w:val="32"/>
          <w:lang w:eastAsia="zh-CN"/>
        </w:rPr>
      </w:pPr>
      <w:r>
        <w:rPr>
          <w:rFonts w:hint="eastAsia" w:ascii="Times New Roman" w:hAnsi="Times New Roman" w:eastAsia="仿宋_GB2312" w:cs="Times New Roman"/>
          <w:b/>
          <w:sz w:val="32"/>
          <w:szCs w:val="32"/>
          <w:lang w:eastAsia="zh-CN"/>
        </w:rPr>
        <w:t>10</w:t>
      </w:r>
      <w:r>
        <w:rPr>
          <w:rFonts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lang w:eastAsia="zh-CN"/>
        </w:rPr>
        <w:t>药品应急预案、桌面推演验收合格率</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经查阅本项目药品应急预案、桌面推演项目《验收确认函》，本项目的药品安全应急预案编制已完成并验收。即本项目药品应急预案、桌面推演验收合格率为100%。</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本项目</w:t>
      </w:r>
      <w:r>
        <w:rPr>
          <w:rFonts w:hint="eastAsia" w:ascii="Times New Roman" w:hAnsi="Times New Roman" w:eastAsia="仿宋_GB2312" w:cs="Times New Roman"/>
          <w:sz w:val="32"/>
          <w:szCs w:val="32"/>
          <w:lang w:eastAsia="zh-CN"/>
        </w:rPr>
        <w:t>药品应急预案、桌面推演验收合格率</w:t>
      </w:r>
      <w:r>
        <w:rPr>
          <w:rFonts w:ascii="Times New Roman" w:hAnsi="Times New Roman" w:eastAsia="仿宋_GB2312" w:cs="Times New Roman"/>
          <w:sz w:val="32"/>
          <w:szCs w:val="32"/>
          <w:lang w:eastAsia="zh-CN"/>
        </w:rPr>
        <w:t>为</w:t>
      </w:r>
      <w:r>
        <w:rPr>
          <w:rFonts w:hint="eastAsia" w:ascii="Times New Roman" w:hAnsi="Times New Roman" w:eastAsia="仿宋_GB2312" w:cs="Times New Roman"/>
          <w:sz w:val="32"/>
          <w:szCs w:val="32"/>
          <w:lang w:eastAsia="zh-CN"/>
        </w:rPr>
        <w:t>100%，该项标准分值3分，实际得分为3分。</w:t>
      </w:r>
    </w:p>
    <w:p>
      <w:pPr>
        <w:spacing w:line="300" w:lineRule="auto"/>
        <w:jc w:val="both"/>
        <w:outlineLvl w:val="2"/>
        <w:rPr>
          <w:rFonts w:ascii="Times New Roman" w:hAnsi="Times New Roman" w:eastAsia="仿宋_GB2312" w:cs="Times New Roman"/>
          <w:b/>
          <w:sz w:val="32"/>
          <w:szCs w:val="32"/>
          <w:lang w:eastAsia="zh-CN"/>
        </w:rPr>
      </w:pPr>
      <w:bookmarkStart w:id="121" w:name="_Toc107933423"/>
      <w:bookmarkStart w:id="122" w:name="_Toc83563152"/>
      <w:bookmarkStart w:id="123" w:name="_Toc63706287"/>
      <w:r>
        <w:rPr>
          <w:rFonts w:hint="eastAsia" w:ascii="Times New Roman" w:hAnsi="Times New Roman" w:eastAsia="仿宋_GB2312" w:cs="Times New Roman"/>
          <w:b/>
          <w:sz w:val="32"/>
          <w:szCs w:val="32"/>
          <w:lang w:eastAsia="zh-CN"/>
        </w:rPr>
        <w:t>11</w:t>
      </w:r>
      <w:r>
        <w:rPr>
          <w:rFonts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lang w:eastAsia="zh-CN"/>
        </w:rPr>
        <w:t>完成及时性</w:t>
      </w:r>
      <w:bookmarkEnd w:id="121"/>
      <w:bookmarkEnd w:id="122"/>
      <w:bookmarkEnd w:id="123"/>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根据本项目包括的各个服务合同和验收确认函，本项目的合同约定起止时间和实际起止时间如下表4.3所示。</w:t>
      </w:r>
    </w:p>
    <w:p>
      <w:pPr>
        <w:spacing w:line="360" w:lineRule="auto"/>
        <w:jc w:val="center"/>
        <w:rPr>
          <w:rFonts w:ascii="Times New Roman" w:hAnsi="Times New Roman" w:eastAsia="仿宋_GB2312" w:cs="Times New Roman"/>
          <w:sz w:val="28"/>
          <w:szCs w:val="28"/>
          <w:lang w:eastAsia="zh-CN"/>
        </w:rPr>
      </w:pPr>
      <w:r>
        <w:rPr>
          <w:rFonts w:ascii="Times New Roman" w:hAnsi="Times New Roman" w:eastAsia="仿宋_GB2312" w:cs="Times New Roman"/>
          <w:sz w:val="28"/>
          <w:szCs w:val="28"/>
          <w:lang w:eastAsia="zh-CN"/>
        </w:rPr>
        <w:t>表</w:t>
      </w:r>
      <w:r>
        <w:rPr>
          <w:rFonts w:hint="eastAsia" w:ascii="Times New Roman" w:hAnsi="Times New Roman" w:eastAsia="仿宋_GB2312" w:cs="Times New Roman"/>
          <w:sz w:val="28"/>
          <w:szCs w:val="28"/>
          <w:lang w:eastAsia="zh-CN"/>
        </w:rPr>
        <w:t>4</w:t>
      </w:r>
      <w:r>
        <w:rPr>
          <w:rFonts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eastAsia="zh-CN"/>
        </w:rPr>
        <w:t>3</w:t>
      </w:r>
      <w:r>
        <w:rPr>
          <w:rFonts w:ascii="Times New Roman" w:hAnsi="Times New Roman" w:eastAsia="仿宋_GB2312" w:cs="Times New Roman"/>
          <w:sz w:val="28"/>
          <w:szCs w:val="28"/>
          <w:lang w:eastAsia="zh-CN"/>
        </w:rPr>
        <w:t xml:space="preserve"> </w:t>
      </w:r>
      <w:r>
        <w:rPr>
          <w:rFonts w:hint="eastAsia" w:ascii="Times New Roman" w:hAnsi="Times New Roman" w:eastAsia="仿宋_GB2312" w:cs="Times New Roman"/>
          <w:sz w:val="28"/>
          <w:szCs w:val="28"/>
          <w:lang w:eastAsia="zh-CN"/>
        </w:rPr>
        <w:t>项目起止时间表</w:t>
      </w:r>
    </w:p>
    <w:tbl>
      <w:tblPr>
        <w:tblStyle w:val="11"/>
        <w:tblW w:w="8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2117"/>
        <w:gridCol w:w="2694"/>
        <w:gridCol w:w="2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878" w:type="dxa"/>
            <w:vAlign w:val="center"/>
          </w:tcPr>
          <w:p>
            <w:pPr>
              <w:spacing w:line="440" w:lineRule="exact"/>
              <w:jc w:val="center"/>
              <w:rPr>
                <w:rFonts w:ascii="Times New Roman" w:hAnsi="Times New Roman" w:eastAsia="仿宋_GB2312" w:cs="Times New Roman"/>
                <w:b/>
                <w:sz w:val="28"/>
                <w:szCs w:val="28"/>
                <w:lang w:eastAsia="zh-CN"/>
              </w:rPr>
            </w:pPr>
            <w:r>
              <w:rPr>
                <w:rFonts w:hint="eastAsia" w:ascii="Times New Roman" w:hAnsi="Times New Roman" w:eastAsia="仿宋_GB2312" w:cs="Times New Roman"/>
                <w:b/>
                <w:sz w:val="28"/>
                <w:szCs w:val="28"/>
                <w:lang w:eastAsia="zh-CN"/>
              </w:rPr>
              <w:t>序号</w:t>
            </w:r>
          </w:p>
        </w:tc>
        <w:tc>
          <w:tcPr>
            <w:tcW w:w="2117" w:type="dxa"/>
            <w:vAlign w:val="center"/>
          </w:tcPr>
          <w:p>
            <w:pPr>
              <w:spacing w:line="440" w:lineRule="exact"/>
              <w:jc w:val="center"/>
              <w:rPr>
                <w:rFonts w:ascii="Times New Roman" w:hAnsi="Times New Roman" w:eastAsia="仿宋_GB2312" w:cs="Times New Roman"/>
                <w:b/>
                <w:sz w:val="28"/>
                <w:szCs w:val="28"/>
                <w:lang w:eastAsia="zh-CN"/>
              </w:rPr>
            </w:pPr>
            <w:r>
              <w:rPr>
                <w:rFonts w:hint="eastAsia" w:ascii="Times New Roman" w:hAnsi="Times New Roman" w:eastAsia="仿宋_GB2312" w:cs="Times New Roman"/>
                <w:b/>
                <w:sz w:val="28"/>
                <w:szCs w:val="28"/>
                <w:lang w:eastAsia="zh-CN"/>
              </w:rPr>
              <w:t>项目名称</w:t>
            </w:r>
          </w:p>
        </w:tc>
        <w:tc>
          <w:tcPr>
            <w:tcW w:w="2694" w:type="dxa"/>
            <w:vAlign w:val="center"/>
          </w:tcPr>
          <w:p>
            <w:pPr>
              <w:spacing w:line="440" w:lineRule="exact"/>
              <w:jc w:val="center"/>
              <w:rPr>
                <w:rFonts w:ascii="Times New Roman" w:hAnsi="Times New Roman" w:eastAsia="仿宋_GB2312" w:cs="Times New Roman"/>
                <w:b/>
                <w:sz w:val="28"/>
                <w:szCs w:val="28"/>
                <w:lang w:eastAsia="zh-CN"/>
              </w:rPr>
            </w:pPr>
            <w:r>
              <w:rPr>
                <w:rFonts w:hint="eastAsia" w:ascii="Times New Roman" w:hAnsi="Times New Roman" w:eastAsia="仿宋_GB2312" w:cs="Times New Roman"/>
                <w:b/>
                <w:sz w:val="28"/>
                <w:szCs w:val="28"/>
                <w:lang w:eastAsia="zh-CN"/>
              </w:rPr>
              <w:t>合同约定完成时间</w:t>
            </w:r>
          </w:p>
        </w:tc>
        <w:tc>
          <w:tcPr>
            <w:tcW w:w="2937" w:type="dxa"/>
            <w:vAlign w:val="center"/>
          </w:tcPr>
          <w:p>
            <w:pPr>
              <w:spacing w:line="440" w:lineRule="exact"/>
              <w:jc w:val="center"/>
              <w:rPr>
                <w:rFonts w:ascii="Times New Roman" w:hAnsi="Times New Roman" w:eastAsia="仿宋_GB2312" w:cs="Times New Roman"/>
                <w:b/>
                <w:sz w:val="28"/>
                <w:szCs w:val="28"/>
                <w:lang w:eastAsia="zh-CN"/>
              </w:rPr>
            </w:pPr>
            <w:r>
              <w:rPr>
                <w:rFonts w:hint="eastAsia" w:ascii="Times New Roman" w:hAnsi="Times New Roman" w:eastAsia="仿宋_GB2312" w:cs="Times New Roman"/>
                <w:b/>
                <w:sz w:val="28"/>
                <w:szCs w:val="28"/>
                <w:lang w:eastAsia="zh-CN"/>
              </w:rPr>
              <w:t>实际验收时间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8" w:type="dxa"/>
            <w:vAlign w:val="center"/>
          </w:tcPr>
          <w:p>
            <w:pPr>
              <w:spacing w:line="440" w:lineRule="exact"/>
              <w:jc w:val="center"/>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1</w:t>
            </w:r>
          </w:p>
        </w:tc>
        <w:tc>
          <w:tcPr>
            <w:tcW w:w="2117" w:type="dxa"/>
            <w:vAlign w:val="center"/>
          </w:tcPr>
          <w:p>
            <w:pPr>
              <w:spacing w:line="440" w:lineRule="exact"/>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产品质量抽检工作</w:t>
            </w:r>
          </w:p>
        </w:tc>
        <w:tc>
          <w:tcPr>
            <w:tcW w:w="2694"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2021年7月至2021年12月</w:t>
            </w:r>
          </w:p>
        </w:tc>
        <w:tc>
          <w:tcPr>
            <w:tcW w:w="2937"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2021年11月24日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jc w:val="center"/>
        </w:trPr>
        <w:tc>
          <w:tcPr>
            <w:tcW w:w="878" w:type="dxa"/>
            <w:vAlign w:val="center"/>
          </w:tcPr>
          <w:p>
            <w:pPr>
              <w:spacing w:line="440" w:lineRule="exact"/>
              <w:jc w:val="center"/>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2</w:t>
            </w:r>
          </w:p>
        </w:tc>
        <w:tc>
          <w:tcPr>
            <w:tcW w:w="2117" w:type="dxa"/>
            <w:vAlign w:val="center"/>
          </w:tcPr>
          <w:p>
            <w:pPr>
              <w:spacing w:line="440" w:lineRule="exact"/>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餐饮环节食品抽检</w:t>
            </w:r>
          </w:p>
        </w:tc>
        <w:tc>
          <w:tcPr>
            <w:tcW w:w="2694"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2021年8月至2021年12月</w:t>
            </w:r>
          </w:p>
        </w:tc>
        <w:tc>
          <w:tcPr>
            <w:tcW w:w="2937"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2021年11月24日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jc w:val="center"/>
        </w:trPr>
        <w:tc>
          <w:tcPr>
            <w:tcW w:w="878" w:type="dxa"/>
            <w:vAlign w:val="center"/>
          </w:tcPr>
          <w:p>
            <w:pPr>
              <w:spacing w:line="440" w:lineRule="exact"/>
              <w:jc w:val="center"/>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3</w:t>
            </w:r>
          </w:p>
        </w:tc>
        <w:tc>
          <w:tcPr>
            <w:tcW w:w="2117"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sz w:val="28"/>
                <w:szCs w:val="28"/>
                <w:lang w:eastAsia="zh-CN"/>
              </w:rPr>
              <w:t>创城食品安全检查</w:t>
            </w:r>
          </w:p>
        </w:tc>
        <w:tc>
          <w:tcPr>
            <w:tcW w:w="2694" w:type="dxa"/>
            <w:vAlign w:val="center"/>
          </w:tcPr>
          <w:p>
            <w:pPr>
              <w:spacing w:line="440" w:lineRule="exact"/>
              <w:rPr>
                <w:rFonts w:ascii="Times New Roman" w:hAnsi="Times New Roman" w:eastAsia="仿宋_GB2312" w:cs="Times New Roman"/>
                <w:sz w:val="28"/>
                <w:szCs w:val="28"/>
                <w:lang w:eastAsia="zh-CN"/>
              </w:rPr>
            </w:pPr>
            <w:r>
              <w:rPr>
                <w:rFonts w:ascii="Times New Roman" w:hAnsi="Times New Roman" w:eastAsia="仿宋_GB2312" w:cs="Times New Roman"/>
                <w:sz w:val="28"/>
                <w:szCs w:val="28"/>
                <w:lang w:eastAsia="zh-CN"/>
              </w:rPr>
              <w:t>合同签订之日起至</w:t>
            </w:r>
            <w:r>
              <w:rPr>
                <w:rFonts w:hint="eastAsia" w:ascii="Times New Roman" w:hAnsi="Times New Roman" w:eastAsia="仿宋_GB2312" w:cs="Times New Roman"/>
                <w:sz w:val="28"/>
                <w:szCs w:val="28"/>
                <w:lang w:eastAsia="zh-CN"/>
              </w:rPr>
              <w:t>2021年12月31日</w:t>
            </w:r>
          </w:p>
        </w:tc>
        <w:tc>
          <w:tcPr>
            <w:tcW w:w="2937"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2021年11月10日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8" w:type="dxa"/>
            <w:vAlign w:val="center"/>
          </w:tcPr>
          <w:p>
            <w:pPr>
              <w:spacing w:line="440" w:lineRule="exact"/>
              <w:jc w:val="center"/>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4</w:t>
            </w:r>
          </w:p>
        </w:tc>
        <w:tc>
          <w:tcPr>
            <w:tcW w:w="2117" w:type="dxa"/>
            <w:vAlign w:val="center"/>
          </w:tcPr>
          <w:p>
            <w:pPr>
              <w:spacing w:line="440" w:lineRule="exact"/>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企业年度信息及即时信息检查工作费用</w:t>
            </w:r>
          </w:p>
        </w:tc>
        <w:tc>
          <w:tcPr>
            <w:tcW w:w="2694" w:type="dxa"/>
            <w:vAlign w:val="center"/>
          </w:tcPr>
          <w:p>
            <w:pPr>
              <w:spacing w:line="440" w:lineRule="exact"/>
              <w:rPr>
                <w:rFonts w:ascii="Times New Roman" w:hAnsi="Times New Roman" w:eastAsia="仿宋_GB2312" w:cs="Times New Roman"/>
                <w:sz w:val="28"/>
                <w:szCs w:val="28"/>
                <w:lang w:eastAsia="zh-CN"/>
              </w:rPr>
            </w:pPr>
            <w:r>
              <w:rPr>
                <w:rFonts w:ascii="Times New Roman" w:hAnsi="Times New Roman" w:eastAsia="仿宋_GB2312" w:cs="Times New Roman"/>
                <w:sz w:val="28"/>
                <w:szCs w:val="28"/>
                <w:lang w:eastAsia="zh-CN"/>
              </w:rPr>
              <w:t>合同签订之日起至</w:t>
            </w:r>
            <w:r>
              <w:rPr>
                <w:rFonts w:hint="eastAsia" w:ascii="Times New Roman" w:hAnsi="Times New Roman" w:eastAsia="仿宋_GB2312" w:cs="Times New Roman"/>
                <w:sz w:val="28"/>
                <w:szCs w:val="28"/>
                <w:lang w:eastAsia="zh-CN"/>
              </w:rPr>
              <w:t>2021年12月14日</w:t>
            </w:r>
          </w:p>
        </w:tc>
        <w:tc>
          <w:tcPr>
            <w:tcW w:w="2937"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2021年11月10日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8" w:type="dxa"/>
            <w:vAlign w:val="center"/>
          </w:tcPr>
          <w:p>
            <w:pPr>
              <w:spacing w:line="440" w:lineRule="exact"/>
              <w:jc w:val="center"/>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5</w:t>
            </w:r>
          </w:p>
        </w:tc>
        <w:tc>
          <w:tcPr>
            <w:tcW w:w="2117" w:type="dxa"/>
            <w:vAlign w:val="center"/>
          </w:tcPr>
          <w:p>
            <w:pPr>
              <w:spacing w:line="440" w:lineRule="exact"/>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食品安全抽检</w:t>
            </w:r>
          </w:p>
        </w:tc>
        <w:tc>
          <w:tcPr>
            <w:tcW w:w="2694"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2021年6月1日至2021年12月31日</w:t>
            </w:r>
          </w:p>
        </w:tc>
        <w:tc>
          <w:tcPr>
            <w:tcW w:w="2937"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2021年10月27日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8" w:type="dxa"/>
            <w:vAlign w:val="center"/>
          </w:tcPr>
          <w:p>
            <w:pPr>
              <w:spacing w:line="440" w:lineRule="exact"/>
              <w:jc w:val="center"/>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6</w:t>
            </w:r>
          </w:p>
        </w:tc>
        <w:tc>
          <w:tcPr>
            <w:tcW w:w="2117" w:type="dxa"/>
            <w:vAlign w:val="center"/>
          </w:tcPr>
          <w:p>
            <w:pPr>
              <w:spacing w:line="440" w:lineRule="exact"/>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药品器械经营、使用质量管理体系审查服务</w:t>
            </w:r>
          </w:p>
        </w:tc>
        <w:tc>
          <w:tcPr>
            <w:tcW w:w="2694"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2021年12月31日底完成</w:t>
            </w:r>
          </w:p>
        </w:tc>
        <w:tc>
          <w:tcPr>
            <w:tcW w:w="2937"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2021年11月25日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8" w:type="dxa"/>
            <w:vAlign w:val="center"/>
          </w:tcPr>
          <w:p>
            <w:pPr>
              <w:spacing w:line="440" w:lineRule="exact"/>
              <w:jc w:val="center"/>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7</w:t>
            </w:r>
          </w:p>
        </w:tc>
        <w:tc>
          <w:tcPr>
            <w:tcW w:w="2117" w:type="dxa"/>
            <w:vAlign w:val="center"/>
          </w:tcPr>
          <w:p>
            <w:pPr>
              <w:spacing w:line="440" w:lineRule="exact"/>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药品器械应急预案</w:t>
            </w:r>
          </w:p>
        </w:tc>
        <w:tc>
          <w:tcPr>
            <w:tcW w:w="2694"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2021年12月31日前完成</w:t>
            </w:r>
          </w:p>
        </w:tc>
        <w:tc>
          <w:tcPr>
            <w:tcW w:w="2937"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2021年11月22日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8" w:type="dxa"/>
            <w:vAlign w:val="center"/>
          </w:tcPr>
          <w:p>
            <w:pPr>
              <w:spacing w:line="440" w:lineRule="exact"/>
              <w:jc w:val="center"/>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8</w:t>
            </w:r>
          </w:p>
        </w:tc>
        <w:tc>
          <w:tcPr>
            <w:tcW w:w="2117" w:type="dxa"/>
            <w:vAlign w:val="center"/>
          </w:tcPr>
          <w:p>
            <w:pPr>
              <w:spacing w:line="440" w:lineRule="exact"/>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企业管理辅助信息服务</w:t>
            </w:r>
          </w:p>
        </w:tc>
        <w:tc>
          <w:tcPr>
            <w:tcW w:w="2694"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2021年12月31日前完成</w:t>
            </w:r>
          </w:p>
        </w:tc>
        <w:tc>
          <w:tcPr>
            <w:tcW w:w="2937"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2021年11月22日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8" w:type="dxa"/>
            <w:vAlign w:val="center"/>
          </w:tcPr>
          <w:p>
            <w:pPr>
              <w:spacing w:line="440" w:lineRule="exact"/>
              <w:jc w:val="center"/>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9</w:t>
            </w:r>
          </w:p>
        </w:tc>
        <w:tc>
          <w:tcPr>
            <w:tcW w:w="2117" w:type="dxa"/>
            <w:vAlign w:val="center"/>
          </w:tcPr>
          <w:p>
            <w:pPr>
              <w:spacing w:line="440" w:lineRule="exact"/>
              <w:rPr>
                <w:rFonts w:ascii="Times New Roman" w:hAnsi="Times New Roman" w:eastAsia="仿宋_GB2312"/>
                <w:sz w:val="28"/>
                <w:szCs w:val="28"/>
                <w:lang w:eastAsia="zh-CN"/>
              </w:rPr>
            </w:pPr>
            <w:r>
              <w:rPr>
                <w:rFonts w:hint="eastAsia" w:ascii="Times New Roman" w:hAnsi="Times New Roman" w:eastAsia="仿宋_GB2312"/>
                <w:sz w:val="28"/>
                <w:szCs w:val="28"/>
                <w:lang w:eastAsia="zh-CN"/>
              </w:rPr>
              <w:t>转供电第三方服务费</w:t>
            </w:r>
          </w:p>
        </w:tc>
        <w:tc>
          <w:tcPr>
            <w:tcW w:w="2694"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未约定</w:t>
            </w:r>
          </w:p>
        </w:tc>
        <w:tc>
          <w:tcPr>
            <w:tcW w:w="2937" w:type="dxa"/>
            <w:vAlign w:val="center"/>
          </w:tcPr>
          <w:p>
            <w:pPr>
              <w:spacing w:line="440" w:lineRule="exact"/>
              <w:rPr>
                <w:rFonts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不涉及</w:t>
            </w:r>
          </w:p>
        </w:tc>
      </w:tr>
    </w:tbl>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如上表所示，本项目所有合同都如期履约完成。</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本项目</w:t>
      </w:r>
      <w:r>
        <w:rPr>
          <w:rFonts w:hint="eastAsia" w:ascii="Times New Roman" w:hAnsi="Times New Roman" w:eastAsia="仿宋_GB2312" w:cs="Times New Roman"/>
          <w:sz w:val="32"/>
          <w:szCs w:val="32"/>
          <w:lang w:eastAsia="zh-CN"/>
        </w:rPr>
        <w:t>不存在进度偏差，该项标准分值5分，实际得分为5分。</w:t>
      </w:r>
    </w:p>
    <w:p>
      <w:pPr>
        <w:spacing w:line="300" w:lineRule="auto"/>
        <w:jc w:val="both"/>
        <w:outlineLvl w:val="2"/>
        <w:rPr>
          <w:rFonts w:ascii="Times New Roman" w:hAnsi="Times New Roman" w:eastAsia="仿宋_GB2312" w:cs="Times New Roman"/>
          <w:b/>
          <w:sz w:val="32"/>
          <w:szCs w:val="32"/>
          <w:lang w:eastAsia="zh-CN"/>
        </w:rPr>
      </w:pPr>
      <w:bookmarkStart w:id="124" w:name="_Toc63706288"/>
      <w:bookmarkStart w:id="125" w:name="_Toc83563153"/>
      <w:bookmarkStart w:id="126" w:name="_Toc107933424"/>
      <w:r>
        <w:rPr>
          <w:rFonts w:hint="eastAsia" w:ascii="Times New Roman" w:hAnsi="Times New Roman" w:eastAsia="仿宋_GB2312" w:cs="Times New Roman"/>
          <w:b/>
          <w:sz w:val="32"/>
          <w:szCs w:val="32"/>
          <w:lang w:eastAsia="zh-CN"/>
        </w:rPr>
        <w:t>12</w:t>
      </w:r>
      <w:r>
        <w:rPr>
          <w:rFonts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lang w:eastAsia="zh-CN"/>
        </w:rPr>
        <w:t>成本偏差率</w:t>
      </w:r>
      <w:bookmarkEnd w:id="124"/>
      <w:bookmarkEnd w:id="125"/>
      <w:bookmarkEnd w:id="126"/>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经查阅</w:t>
      </w:r>
      <w:r>
        <w:rPr>
          <w:rFonts w:ascii="Times New Roman" w:hAnsi="Times New Roman" w:eastAsia="仿宋_GB2312" w:cs="Times New Roman"/>
          <w:sz w:val="32"/>
          <w:szCs w:val="32"/>
          <w:lang w:eastAsia="zh-CN"/>
        </w:rPr>
        <w:t>本项目</w:t>
      </w:r>
      <w:r>
        <w:rPr>
          <w:rFonts w:hint="eastAsia" w:ascii="Times New Roman" w:hAnsi="Times New Roman" w:eastAsia="仿宋_GB2312" w:cs="Times New Roman"/>
          <w:sz w:val="32"/>
          <w:szCs w:val="32"/>
          <w:lang w:eastAsia="zh-CN"/>
        </w:rPr>
        <w:t>的财务</w:t>
      </w:r>
      <w:r>
        <w:rPr>
          <w:rFonts w:ascii="Times New Roman" w:hAnsi="Times New Roman" w:eastAsia="仿宋_GB2312" w:cs="Times New Roman"/>
          <w:sz w:val="32"/>
          <w:szCs w:val="32"/>
          <w:lang w:eastAsia="zh-CN"/>
        </w:rPr>
        <w:t>记账凭证</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lang w:eastAsia="zh-CN"/>
        </w:rPr>
        <w:t>实际支出资金为1751561</w:t>
      </w:r>
      <w:r>
        <w:rPr>
          <w:rFonts w:hint="eastAsia" w:ascii="Times New Roman" w:hAnsi="Times New Roman" w:eastAsia="仿宋_GB2312" w:cs="Times New Roman"/>
          <w:sz w:val="32"/>
          <w:szCs w:val="32"/>
          <w:lang w:eastAsia="zh-CN"/>
        </w:rPr>
        <w:t>元，全年预算数为</w:t>
      </w:r>
      <w:r>
        <w:rPr>
          <w:rFonts w:ascii="Times New Roman" w:hAnsi="Times New Roman" w:eastAsia="仿宋_GB2312" w:cs="Times New Roman"/>
          <w:sz w:val="32"/>
          <w:szCs w:val="32"/>
          <w:lang w:eastAsia="zh-CN"/>
        </w:rPr>
        <w:t>1809700</w:t>
      </w:r>
      <w:r>
        <w:rPr>
          <w:rFonts w:hint="eastAsia" w:ascii="Times New Roman" w:hAnsi="Times New Roman" w:eastAsia="仿宋_GB2312" w:cs="Times New Roman"/>
          <w:sz w:val="32"/>
          <w:szCs w:val="32"/>
          <w:lang w:eastAsia="zh-CN"/>
        </w:rPr>
        <w:t>元，成本偏差率=[（</w:t>
      </w:r>
      <w:r>
        <w:rPr>
          <w:rFonts w:ascii="Times New Roman" w:hAnsi="Times New Roman" w:eastAsia="仿宋_GB2312" w:cs="Times New Roman"/>
          <w:sz w:val="32"/>
          <w:szCs w:val="32"/>
          <w:lang w:eastAsia="zh-CN"/>
        </w:rPr>
        <w:t>1751561</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lang w:eastAsia="zh-CN"/>
        </w:rPr>
        <w:t>1809700</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lang w:eastAsia="zh-CN"/>
        </w:rPr>
        <w:t>1809700</w:t>
      </w:r>
      <w:r>
        <w:rPr>
          <w:rFonts w:hint="eastAsia" w:ascii="Times New Roman" w:hAnsi="Times New Roman" w:eastAsia="仿宋_GB2312" w:cs="Times New Roman"/>
          <w:sz w:val="32"/>
          <w:szCs w:val="32"/>
          <w:lang w:eastAsia="zh-CN"/>
        </w:rPr>
        <w:t>]×100%=-3.21%。</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本项目</w:t>
      </w:r>
      <w:r>
        <w:rPr>
          <w:rFonts w:hint="eastAsia" w:ascii="Times New Roman" w:hAnsi="Times New Roman" w:eastAsia="仿宋_GB2312" w:cs="Times New Roman"/>
          <w:sz w:val="32"/>
          <w:szCs w:val="32"/>
          <w:lang w:eastAsia="zh-CN"/>
        </w:rPr>
        <w:t>成本偏差率为-3.21%，该项标准分值为5分，实际</w:t>
      </w:r>
      <w:r>
        <w:rPr>
          <w:rFonts w:ascii="Times New Roman" w:hAnsi="Times New Roman" w:eastAsia="仿宋_GB2312" w:cs="Times New Roman"/>
          <w:sz w:val="32"/>
          <w:szCs w:val="32"/>
          <w:lang w:eastAsia="zh-CN"/>
        </w:rPr>
        <w:t>得分</w:t>
      </w:r>
      <w:r>
        <w:rPr>
          <w:rFonts w:hint="eastAsia" w:ascii="Times New Roman" w:hAnsi="Times New Roman" w:eastAsia="仿宋_GB2312" w:cs="Times New Roman"/>
          <w:sz w:val="32"/>
          <w:szCs w:val="32"/>
          <w:lang w:eastAsia="zh-CN"/>
        </w:rPr>
        <w:t>为5</w:t>
      </w:r>
      <w:r>
        <w:rPr>
          <w:rFonts w:ascii="Times New Roman" w:hAnsi="Times New Roman" w:eastAsia="仿宋_GB2312" w:cs="Times New Roman"/>
          <w:sz w:val="32"/>
          <w:szCs w:val="32"/>
          <w:lang w:eastAsia="zh-CN"/>
        </w:rPr>
        <w:t>分</w:t>
      </w:r>
      <w:r>
        <w:rPr>
          <w:rFonts w:hint="eastAsia" w:ascii="Times New Roman" w:hAnsi="Times New Roman" w:eastAsia="仿宋_GB2312" w:cs="Times New Roman"/>
          <w:sz w:val="32"/>
          <w:szCs w:val="32"/>
          <w:lang w:eastAsia="zh-CN"/>
        </w:rPr>
        <w:t>。</w:t>
      </w:r>
    </w:p>
    <w:p>
      <w:pPr>
        <w:spacing w:line="300" w:lineRule="auto"/>
        <w:jc w:val="both"/>
        <w:outlineLvl w:val="1"/>
        <w:rPr>
          <w:rFonts w:ascii="Times New Roman" w:hAnsi="Times New Roman" w:eastAsia="仿宋_GB2312" w:cs="Times New Roman"/>
          <w:b/>
          <w:sz w:val="32"/>
          <w:szCs w:val="32"/>
          <w:lang w:eastAsia="zh-CN"/>
        </w:rPr>
      </w:pPr>
      <w:bookmarkStart w:id="127" w:name="_Toc112070435"/>
      <w:r>
        <w:rPr>
          <w:rFonts w:ascii="Times New Roman" w:hAnsi="Times New Roman" w:eastAsia="仿宋_GB2312" w:cs="Times New Roman"/>
          <w:b/>
          <w:sz w:val="32"/>
          <w:szCs w:val="32"/>
          <w:lang w:eastAsia="zh-CN"/>
        </w:rPr>
        <w:t>（四）项目效益情况</w:t>
      </w:r>
      <w:bookmarkEnd w:id="127"/>
    </w:p>
    <w:p>
      <w:pPr>
        <w:spacing w:line="300" w:lineRule="auto"/>
        <w:jc w:val="both"/>
        <w:outlineLvl w:val="2"/>
        <w:rPr>
          <w:rFonts w:ascii="Times New Roman" w:hAnsi="Times New Roman" w:eastAsia="仿宋_GB2312" w:cs="Times New Roman"/>
          <w:b/>
          <w:sz w:val="32"/>
          <w:szCs w:val="32"/>
          <w:lang w:eastAsia="zh-CN"/>
        </w:rPr>
      </w:pPr>
      <w:bookmarkStart w:id="128" w:name="_Toc83563155"/>
      <w:bookmarkStart w:id="129" w:name="_Toc63706290"/>
      <w:bookmarkStart w:id="130" w:name="_Toc107933426"/>
      <w:r>
        <w:rPr>
          <w:rFonts w:ascii="Times New Roman" w:hAnsi="Times New Roman" w:eastAsia="仿宋_GB2312" w:cs="Times New Roman"/>
          <w:b/>
          <w:sz w:val="32"/>
          <w:szCs w:val="32"/>
          <w:lang w:eastAsia="zh-CN"/>
        </w:rPr>
        <w:t>1.社会效益</w:t>
      </w:r>
      <w:bookmarkEnd w:id="128"/>
      <w:bookmarkEnd w:id="129"/>
      <w:bookmarkEnd w:id="130"/>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本项目的实施为做好东疆保税港区流通领域产品质量监督抽查工作，进一步提升东疆保税港区流通领域产品质量整体水平，依法维护市场秩序，保护消费者合法权益，本项目产生了良好的社会效益。</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本项目产生了良好的社会效益，该项标准分值4分，实际得分为4分。</w:t>
      </w:r>
    </w:p>
    <w:p>
      <w:pPr>
        <w:spacing w:line="300" w:lineRule="auto"/>
        <w:jc w:val="both"/>
        <w:outlineLvl w:val="2"/>
        <w:rPr>
          <w:rFonts w:ascii="Times New Roman" w:hAnsi="Times New Roman" w:eastAsia="仿宋_GB2312" w:cs="Times New Roman"/>
          <w:b/>
          <w:sz w:val="32"/>
          <w:szCs w:val="32"/>
          <w:lang w:eastAsia="zh-CN"/>
        </w:rPr>
      </w:pPr>
      <w:bookmarkStart w:id="131" w:name="_Toc107933427"/>
      <w:bookmarkStart w:id="132" w:name="_Toc63706291"/>
      <w:bookmarkStart w:id="133" w:name="_Toc83563156"/>
      <w:r>
        <w:rPr>
          <w:rFonts w:hint="eastAsia" w:ascii="Times New Roman" w:hAnsi="Times New Roman" w:eastAsia="仿宋_GB2312" w:cs="Times New Roman"/>
          <w:b/>
          <w:sz w:val="32"/>
          <w:szCs w:val="32"/>
          <w:lang w:eastAsia="zh-CN"/>
        </w:rPr>
        <w:t>2</w:t>
      </w:r>
      <w:r>
        <w:rPr>
          <w:rFonts w:ascii="Times New Roman" w:hAnsi="Times New Roman" w:eastAsia="仿宋_GB2312" w:cs="Times New Roman"/>
          <w:b/>
          <w:sz w:val="32"/>
          <w:szCs w:val="32"/>
          <w:lang w:eastAsia="zh-CN"/>
        </w:rPr>
        <w:t>.可持续影响效益</w:t>
      </w:r>
      <w:bookmarkEnd w:id="131"/>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根据对项目实施单位工作人员的访谈，本项目自实施运营以来整体运行情况较稳定，项目承担单位按合同约定及时、高质量完成各期项目成果。项目实施单位指定专门人员负责配合、监督项目实施，确保项目稳定运行。</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同时，由于本项目成果的监督、保障和引领性质，项目产出所带来的社会效益均可在今后若干年持续产生良好影响。</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本项目产生了良好的可持续影响效益，该项标准分值4分，实际得分为4分。</w:t>
      </w:r>
    </w:p>
    <w:p>
      <w:pPr>
        <w:spacing w:line="300" w:lineRule="auto"/>
        <w:jc w:val="both"/>
        <w:outlineLvl w:val="2"/>
        <w:rPr>
          <w:rFonts w:ascii="Times New Roman" w:hAnsi="Times New Roman" w:eastAsia="仿宋_GB2312" w:cs="Times New Roman"/>
          <w:b/>
          <w:sz w:val="32"/>
          <w:szCs w:val="32"/>
          <w:lang w:eastAsia="zh-CN"/>
        </w:rPr>
      </w:pPr>
      <w:bookmarkStart w:id="134" w:name="_Toc107933428"/>
      <w:r>
        <w:rPr>
          <w:rFonts w:hint="eastAsia" w:ascii="Times New Roman" w:hAnsi="Times New Roman" w:eastAsia="仿宋_GB2312" w:cs="Times New Roman"/>
          <w:b/>
          <w:sz w:val="32"/>
          <w:szCs w:val="32"/>
          <w:lang w:eastAsia="zh-CN"/>
        </w:rPr>
        <w:t>3</w:t>
      </w:r>
      <w:r>
        <w:rPr>
          <w:rFonts w:ascii="Times New Roman" w:hAnsi="Times New Roman" w:eastAsia="仿宋_GB2312" w:cs="Times New Roman"/>
          <w:b/>
          <w:sz w:val="32"/>
          <w:szCs w:val="32"/>
          <w:lang w:eastAsia="zh-CN"/>
        </w:rPr>
        <w:t>.满意度</w:t>
      </w:r>
      <w:bookmarkEnd w:id="132"/>
      <w:bookmarkEnd w:id="133"/>
      <w:bookmarkEnd w:id="134"/>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指标评价采用调查问卷法，通过问卷访谈的形式对项目实施单位的满意度情况进行调查并打分。问卷内容包括对聘用第三方机构提供的食品、商品质量抽检、企业公示信息审核、药品安全应急预案编制的质量等5个满意度问题，每个问题设置4个满意维度，每份问卷满分共100分。共发放问卷5份，回收问卷5份。5张问卷平均分为100分，本项目服务对象平均满意度为100%。</w:t>
      </w:r>
    </w:p>
    <w:p>
      <w:pPr>
        <w:spacing w:line="300" w:lineRule="auto"/>
        <w:jc w:val="both"/>
        <w:outlineLvl w:val="3"/>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综上分析，本项目服务对象满意度为100%，本指标标准分值为8分，根据评分标准及规则实际得分为8分。</w:t>
      </w:r>
    </w:p>
    <w:p>
      <w:pPr>
        <w:spacing w:line="300" w:lineRule="auto"/>
        <w:jc w:val="both"/>
        <w:outlineLvl w:val="1"/>
        <w:rPr>
          <w:rFonts w:ascii="Times New Roman" w:hAnsi="Times New Roman" w:eastAsia="仿宋_GB2312" w:cs="Times New Roman"/>
          <w:b/>
          <w:sz w:val="32"/>
          <w:szCs w:val="32"/>
          <w:lang w:eastAsia="zh-CN"/>
        </w:rPr>
      </w:pPr>
      <w:bookmarkStart w:id="135" w:name="_Toc112070436"/>
      <w:r>
        <w:rPr>
          <w:rFonts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lang w:eastAsia="zh-CN"/>
        </w:rPr>
        <w:t>五</w:t>
      </w:r>
      <w:r>
        <w:rPr>
          <w:rFonts w:ascii="Times New Roman" w:hAnsi="Times New Roman" w:eastAsia="仿宋_GB2312" w:cs="Times New Roman"/>
          <w:b/>
          <w:sz w:val="32"/>
          <w:szCs w:val="32"/>
          <w:lang w:eastAsia="zh-CN"/>
        </w:rPr>
        <w:t>）项目</w:t>
      </w:r>
      <w:r>
        <w:rPr>
          <w:rFonts w:hint="eastAsia" w:ascii="Times New Roman" w:hAnsi="Times New Roman" w:eastAsia="仿宋_GB2312" w:cs="Times New Roman"/>
          <w:b/>
          <w:sz w:val="32"/>
          <w:szCs w:val="32"/>
          <w:lang w:eastAsia="zh-CN"/>
        </w:rPr>
        <w:t>自评</w:t>
      </w:r>
      <w:r>
        <w:rPr>
          <w:rFonts w:ascii="Times New Roman" w:hAnsi="Times New Roman" w:eastAsia="仿宋_GB2312" w:cs="Times New Roman"/>
          <w:b/>
          <w:sz w:val="32"/>
          <w:szCs w:val="32"/>
          <w:lang w:eastAsia="zh-CN"/>
        </w:rPr>
        <w:t>情况</w:t>
      </w:r>
      <w:bookmarkEnd w:id="135"/>
    </w:p>
    <w:p>
      <w:pPr>
        <w:spacing w:line="300" w:lineRule="auto"/>
        <w:jc w:val="both"/>
        <w:outlineLvl w:val="2"/>
        <w:rPr>
          <w:rFonts w:ascii="Times New Roman" w:hAnsi="Times New Roman" w:eastAsia="仿宋_GB2312" w:cs="Times New Roman"/>
          <w:b/>
          <w:sz w:val="32"/>
          <w:szCs w:val="32"/>
          <w:lang w:eastAsia="zh-CN"/>
        </w:rPr>
      </w:pPr>
      <w:bookmarkStart w:id="136" w:name="_Toc63706293"/>
      <w:bookmarkStart w:id="137" w:name="_Toc83563158"/>
      <w:bookmarkStart w:id="138" w:name="_Toc107933430"/>
      <w:r>
        <w:rPr>
          <w:rFonts w:hint="eastAsia" w:ascii="Times New Roman" w:hAnsi="Times New Roman" w:eastAsia="仿宋_GB2312" w:cs="Times New Roman"/>
          <w:b/>
          <w:sz w:val="32"/>
          <w:szCs w:val="32"/>
          <w:lang w:eastAsia="zh-CN"/>
        </w:rPr>
        <w:t>1</w:t>
      </w:r>
      <w:r>
        <w:rPr>
          <w:rFonts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lang w:eastAsia="zh-CN"/>
        </w:rPr>
        <w:t>项目支出绩效自评报告和自评表</w:t>
      </w:r>
      <w:bookmarkEnd w:id="136"/>
      <w:bookmarkEnd w:id="137"/>
      <w:bookmarkEnd w:id="138"/>
    </w:p>
    <w:p>
      <w:pPr>
        <w:spacing w:line="300" w:lineRule="auto"/>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（1）实际执行情况分析</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项目实施单位按照规定及时报送了绩效自评表及绩效自评报告，报告撰写、填写质量基本满足要求。</w:t>
      </w:r>
    </w:p>
    <w:p>
      <w:pPr>
        <w:spacing w:line="300" w:lineRule="auto"/>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（2）评价结论</w:t>
      </w:r>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项目实施单位报送的自评材料及时、质量满足要求，该项标准分值4分，实际得分为4分。</w:t>
      </w:r>
    </w:p>
    <w:p>
      <w:pPr>
        <w:spacing w:line="600" w:lineRule="exact"/>
        <w:ind w:firstLine="656" w:firstLineChars="200"/>
        <w:jc w:val="center"/>
        <w:outlineLvl w:val="0"/>
        <w:rPr>
          <w:rFonts w:ascii="Times New Roman" w:hAnsi="Times New Roman" w:eastAsia="黑体" w:cs="Times New Roman"/>
          <w:spacing w:val="-4"/>
          <w:w w:val="105"/>
          <w:sz w:val="32"/>
          <w:szCs w:val="32"/>
          <w:lang w:eastAsia="zh-CN"/>
        </w:rPr>
        <w:sectPr>
          <w:pgSz w:w="11906" w:h="16838"/>
          <w:pgMar w:top="1440" w:right="1800" w:bottom="1440" w:left="1800" w:header="851" w:footer="992" w:gutter="0"/>
          <w:cols w:space="425" w:num="1"/>
          <w:docGrid w:type="lines" w:linePitch="312" w:charSpace="0"/>
        </w:sectPr>
      </w:pPr>
    </w:p>
    <w:p>
      <w:pPr>
        <w:spacing w:line="300" w:lineRule="auto"/>
        <w:jc w:val="center"/>
        <w:outlineLvl w:val="0"/>
        <w:rPr>
          <w:rFonts w:ascii="Times New Roman" w:hAnsi="Times New Roman" w:eastAsia="黑体" w:cs="Times New Roman"/>
          <w:spacing w:val="-4"/>
          <w:w w:val="105"/>
          <w:sz w:val="32"/>
          <w:szCs w:val="32"/>
          <w:lang w:eastAsia="zh-CN"/>
        </w:rPr>
      </w:pPr>
      <w:bookmarkStart w:id="139" w:name="_Toc112070437"/>
      <w:r>
        <w:rPr>
          <w:rFonts w:ascii="Times New Roman" w:hAnsi="Times New Roman" w:eastAsia="黑体" w:cs="Times New Roman"/>
          <w:spacing w:val="-4"/>
          <w:w w:val="105"/>
          <w:sz w:val="32"/>
          <w:szCs w:val="32"/>
          <w:lang w:eastAsia="zh-CN"/>
        </w:rPr>
        <w:t>五、主要经验及做法、存在的问题及原因分析</w:t>
      </w:r>
      <w:bookmarkEnd w:id="139"/>
      <w:r>
        <w:rPr>
          <w:rFonts w:ascii="Times New Roman" w:hAnsi="Times New Roman" w:eastAsia="黑体" w:cs="Times New Roman"/>
          <w:spacing w:val="-4"/>
          <w:w w:val="105"/>
          <w:sz w:val="32"/>
          <w:szCs w:val="32"/>
          <w:lang w:eastAsia="zh-CN"/>
        </w:rPr>
        <w:t xml:space="preserve"> </w:t>
      </w:r>
    </w:p>
    <w:p>
      <w:pPr>
        <w:spacing w:line="300" w:lineRule="auto"/>
        <w:outlineLvl w:val="1"/>
        <w:rPr>
          <w:rFonts w:ascii="Times New Roman" w:hAnsi="Times New Roman" w:eastAsia="仿宋_GB2312" w:cs="Times New Roman"/>
          <w:b/>
          <w:sz w:val="32"/>
          <w:szCs w:val="32"/>
          <w:lang w:eastAsia="zh-CN"/>
        </w:rPr>
      </w:pPr>
      <w:bookmarkStart w:id="140" w:name="_Toc460413906"/>
      <w:bookmarkStart w:id="141" w:name="_Toc112070438"/>
      <w:r>
        <w:rPr>
          <w:rFonts w:ascii="Times New Roman" w:hAnsi="Times New Roman" w:eastAsia="仿宋_GB2312" w:cs="Times New Roman"/>
          <w:b/>
          <w:sz w:val="32"/>
          <w:szCs w:val="32"/>
          <w:lang w:eastAsia="zh-CN"/>
        </w:rPr>
        <w:t>（一）项目经验</w:t>
      </w:r>
      <w:bookmarkEnd w:id="140"/>
      <w:bookmarkEnd w:id="141"/>
    </w:p>
    <w:p>
      <w:pPr>
        <w:spacing w:line="300" w:lineRule="auto"/>
        <w:ind w:firstLine="640" w:firstLineChars="200"/>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积极响应《关于印发&lt;2021年天津市滨海新区流通领域产品质量监督抽查工作计划&gt;的通知》（津滨市场监管质监[2021]9号）《滨海新区市场监督管理局落实&lt;天津市撤销冒用他人身份信息取得公司登记工作操作规程&gt;的指导意见》（津滨市场监管政服[2019]111号）《区市场监管局 区政务服务办关于印发&lt;部分园区转供电不合理加价专项整治工作方案&gt;的通知》（津滨市场监管价格[2021]5号）等文件要求，快速实施，取得了较好的工作成效。</w:t>
      </w:r>
    </w:p>
    <w:p>
      <w:pPr>
        <w:spacing w:line="300" w:lineRule="auto"/>
        <w:outlineLvl w:val="1"/>
        <w:rPr>
          <w:rFonts w:ascii="Times New Roman" w:hAnsi="Times New Roman" w:eastAsia="仿宋_GB2312" w:cs="Times New Roman"/>
          <w:b/>
          <w:sz w:val="32"/>
          <w:szCs w:val="32"/>
          <w:lang w:eastAsia="zh-CN"/>
        </w:rPr>
      </w:pPr>
      <w:bookmarkStart w:id="142" w:name="_Toc460413907"/>
      <w:bookmarkStart w:id="143" w:name="_Toc112070439"/>
      <w:r>
        <w:rPr>
          <w:rFonts w:ascii="Times New Roman" w:hAnsi="Times New Roman" w:eastAsia="仿宋_GB2312" w:cs="Times New Roman"/>
          <w:b/>
          <w:sz w:val="32"/>
          <w:szCs w:val="32"/>
          <w:lang w:eastAsia="zh-CN"/>
        </w:rPr>
        <w:t>（二）存在问题</w:t>
      </w:r>
      <w:bookmarkEnd w:id="142"/>
      <w:r>
        <w:rPr>
          <w:rFonts w:ascii="Times New Roman" w:hAnsi="Times New Roman" w:eastAsia="仿宋_GB2312" w:cs="Times New Roman"/>
          <w:b/>
          <w:sz w:val="32"/>
          <w:szCs w:val="32"/>
          <w:lang w:eastAsia="zh-CN"/>
        </w:rPr>
        <w:t>及原因</w:t>
      </w:r>
      <w:bookmarkEnd w:id="143"/>
    </w:p>
    <w:p>
      <w:pPr>
        <w:spacing w:line="300" w:lineRule="auto"/>
        <w:ind w:firstLine="640" w:firstLineChars="200"/>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（1）本项目缺少相应的业务管理制度。</w:t>
      </w:r>
    </w:p>
    <w:p>
      <w:pPr>
        <w:spacing w:line="300" w:lineRule="auto"/>
        <w:ind w:firstLine="640" w:firstLineChars="200"/>
        <w:rPr>
          <w:rFonts w:ascii="Times New Roman" w:hAnsi="Times New Roman" w:eastAsia="仿宋_GB2312" w:cs="Times New Roman"/>
          <w:sz w:val="32"/>
          <w:szCs w:val="32"/>
          <w:lang w:eastAsia="zh-CN"/>
        </w:rPr>
        <w:sectPr>
          <w:pgSz w:w="11906" w:h="16838"/>
          <w:pgMar w:top="1440" w:right="1800" w:bottom="1440" w:left="1800" w:header="851" w:footer="992" w:gutter="0"/>
          <w:cols w:space="425" w:num="1"/>
          <w:docGrid w:type="lines" w:linePitch="312" w:charSpace="0"/>
        </w:sectPr>
      </w:pPr>
    </w:p>
    <w:p>
      <w:pPr>
        <w:spacing w:line="300" w:lineRule="auto"/>
        <w:jc w:val="center"/>
        <w:outlineLvl w:val="0"/>
        <w:rPr>
          <w:rFonts w:ascii="Times New Roman" w:hAnsi="Times New Roman" w:eastAsia="黑体" w:cs="Times New Roman"/>
          <w:spacing w:val="-4"/>
          <w:w w:val="105"/>
          <w:sz w:val="32"/>
          <w:szCs w:val="32"/>
          <w:lang w:eastAsia="zh-CN"/>
        </w:rPr>
      </w:pPr>
      <w:bookmarkStart w:id="144" w:name="_Toc112070440"/>
      <w:r>
        <w:rPr>
          <w:rFonts w:ascii="Times New Roman" w:hAnsi="Times New Roman" w:eastAsia="黑体" w:cs="Times New Roman"/>
          <w:spacing w:val="-4"/>
          <w:w w:val="105"/>
          <w:sz w:val="32"/>
          <w:szCs w:val="32"/>
          <w:lang w:eastAsia="zh-CN"/>
        </w:rPr>
        <w:t>六、有关建议</w:t>
      </w:r>
      <w:bookmarkEnd w:id="144"/>
    </w:p>
    <w:p>
      <w:pPr>
        <w:spacing w:line="300" w:lineRule="auto"/>
        <w:jc w:val="both"/>
        <w:outlineLvl w:val="1"/>
        <w:rPr>
          <w:rFonts w:ascii="Times New Roman" w:hAnsi="Times New Roman" w:eastAsia="仿宋_GB2312" w:cs="Times New Roman"/>
          <w:b/>
          <w:sz w:val="32"/>
          <w:szCs w:val="32"/>
          <w:lang w:eastAsia="zh-CN"/>
        </w:rPr>
      </w:pPr>
      <w:bookmarkStart w:id="145" w:name="_Toc112070441"/>
      <w:r>
        <w:rPr>
          <w:rFonts w:hint="eastAsia" w:ascii="Times New Roman" w:hAnsi="Times New Roman" w:eastAsia="仿宋_GB2312" w:cs="Times New Roman"/>
          <w:b/>
          <w:sz w:val="32"/>
          <w:szCs w:val="32"/>
          <w:lang w:eastAsia="zh-CN"/>
        </w:rPr>
        <w:t>（一）制定业务管理制度，加强执行监管</w:t>
      </w:r>
      <w:bookmarkEnd w:id="145"/>
    </w:p>
    <w:p>
      <w:pPr>
        <w:spacing w:line="300" w:lineRule="auto"/>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本项目由项目实施单位委托第三方机构开展，从加强业务风险管理的角度，建议项目实施单位制定业务管理制度，加强执行监管，明确第三方机构履行业务过程中的监督、检查、考核机制，保证项目顺利开展。</w:t>
      </w:r>
    </w:p>
    <w:p>
      <w:pPr>
        <w:spacing w:line="300" w:lineRule="auto"/>
        <w:ind w:firstLine="640" w:firstLineChars="200"/>
        <w:jc w:val="both"/>
        <w:rPr>
          <w:rFonts w:ascii="Times New Roman" w:hAnsi="Times New Roman" w:eastAsia="仿宋_GB2312" w:cs="Times New Roman"/>
          <w:sz w:val="32"/>
          <w:szCs w:val="32"/>
          <w:lang w:eastAsia="zh-CN"/>
        </w:rPr>
      </w:pPr>
    </w:p>
    <w:p>
      <w:pPr>
        <w:spacing w:line="300" w:lineRule="auto"/>
        <w:ind w:firstLine="640" w:firstLineChars="200"/>
        <w:jc w:val="both"/>
        <w:rPr>
          <w:rFonts w:ascii="Times New Roman" w:hAnsi="Times New Roman" w:eastAsia="仿宋_GB2312" w:cs="Times New Roman"/>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20772604"/>
      <w:docPartObj>
        <w:docPartGallery w:val="AutoText"/>
      </w:docPartObj>
    </w:sdtPr>
    <w:sdtContent>
      <w:p>
        <w:pPr>
          <w:pStyle w:val="6"/>
          <w:jc w:val="center"/>
        </w:pPr>
        <w:r>
          <w:fldChar w:fldCharType="begin"/>
        </w:r>
        <w:r>
          <w:instrText xml:space="preserve">PAGE   \* MERGEFORMAT</w:instrText>
        </w:r>
        <w:r>
          <w:fldChar w:fldCharType="separate"/>
        </w:r>
        <w:r>
          <w:rPr>
            <w:lang w:val="zh-CN" w:eastAsia="zh-CN"/>
          </w:rPr>
          <w:t>II</w:t>
        </w:r>
        <w:r>
          <w:fldChar w:fldCharType="end"/>
        </w:r>
      </w:p>
    </w:sdtContent>
  </w:sdt>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1195912"/>
      <w:docPartObj>
        <w:docPartGallery w:val="AutoText"/>
      </w:docPartObj>
    </w:sdtPr>
    <w:sdtContent>
      <w:p>
        <w:pPr>
          <w:pStyle w:val="6"/>
          <w:jc w:val="center"/>
        </w:pPr>
        <w:r>
          <w:fldChar w:fldCharType="begin"/>
        </w:r>
        <w:r>
          <w:instrText xml:space="preserve">PAGE   \* MERGEFORMAT</w:instrText>
        </w:r>
        <w:r>
          <w:fldChar w:fldCharType="separate"/>
        </w:r>
        <w:r>
          <w:rPr>
            <w:lang w:val="zh-CN" w:eastAsia="zh-CN"/>
          </w:rPr>
          <w:t>25</w:t>
        </w:r>
        <w:r>
          <w:fldChar w:fldCharType="end"/>
        </w:r>
      </w:p>
    </w:sdtContent>
  </w:sdt>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lang w:eastAsia="zh-CN"/>
      </w:rPr>
    </w:pPr>
    <w:r>
      <w:rPr>
        <w:rFonts w:hint="eastAsia"/>
        <w:lang w:eastAsia="zh-CN"/>
      </w:rPr>
      <w:t>市场监管业务项目支出绩效评价报告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0Yzk2ZjE1YmE3ODZlMzI2ODEwYjlhMTc2ODBjNjAifQ=="/>
  </w:docVars>
  <w:rsids>
    <w:rsidRoot w:val="00D27F3A"/>
    <w:rsid w:val="000000CA"/>
    <w:rsid w:val="00001A62"/>
    <w:rsid w:val="00002251"/>
    <w:rsid w:val="0000702D"/>
    <w:rsid w:val="00010135"/>
    <w:rsid w:val="000120A7"/>
    <w:rsid w:val="000129D7"/>
    <w:rsid w:val="00013BA4"/>
    <w:rsid w:val="00015670"/>
    <w:rsid w:val="00015CF1"/>
    <w:rsid w:val="000177CC"/>
    <w:rsid w:val="00020D41"/>
    <w:rsid w:val="00021C38"/>
    <w:rsid w:val="00024058"/>
    <w:rsid w:val="00025BFF"/>
    <w:rsid w:val="00026AFE"/>
    <w:rsid w:val="000276E6"/>
    <w:rsid w:val="000307C0"/>
    <w:rsid w:val="0003153D"/>
    <w:rsid w:val="0003672D"/>
    <w:rsid w:val="00036DEB"/>
    <w:rsid w:val="00040088"/>
    <w:rsid w:val="0004142E"/>
    <w:rsid w:val="00041559"/>
    <w:rsid w:val="000420E4"/>
    <w:rsid w:val="00044535"/>
    <w:rsid w:val="00046E90"/>
    <w:rsid w:val="0004705B"/>
    <w:rsid w:val="00047D61"/>
    <w:rsid w:val="00050987"/>
    <w:rsid w:val="000533F6"/>
    <w:rsid w:val="00053736"/>
    <w:rsid w:val="000561EC"/>
    <w:rsid w:val="000614AA"/>
    <w:rsid w:val="0006252A"/>
    <w:rsid w:val="000648BA"/>
    <w:rsid w:val="00067C3E"/>
    <w:rsid w:val="00067F5A"/>
    <w:rsid w:val="00071F79"/>
    <w:rsid w:val="00072406"/>
    <w:rsid w:val="00073835"/>
    <w:rsid w:val="000740EF"/>
    <w:rsid w:val="000744D6"/>
    <w:rsid w:val="000749C9"/>
    <w:rsid w:val="00074AC3"/>
    <w:rsid w:val="00076A70"/>
    <w:rsid w:val="00080308"/>
    <w:rsid w:val="0008324E"/>
    <w:rsid w:val="000846E1"/>
    <w:rsid w:val="0009650E"/>
    <w:rsid w:val="0009678C"/>
    <w:rsid w:val="000A0155"/>
    <w:rsid w:val="000A1FA1"/>
    <w:rsid w:val="000A2905"/>
    <w:rsid w:val="000A3907"/>
    <w:rsid w:val="000A3E5C"/>
    <w:rsid w:val="000B0254"/>
    <w:rsid w:val="000B24BF"/>
    <w:rsid w:val="000B2E9D"/>
    <w:rsid w:val="000B32EB"/>
    <w:rsid w:val="000B4232"/>
    <w:rsid w:val="000B427B"/>
    <w:rsid w:val="000B49C8"/>
    <w:rsid w:val="000C457A"/>
    <w:rsid w:val="000C7FD5"/>
    <w:rsid w:val="000D069B"/>
    <w:rsid w:val="000D2E6E"/>
    <w:rsid w:val="000D5DAF"/>
    <w:rsid w:val="000D63EC"/>
    <w:rsid w:val="000D6651"/>
    <w:rsid w:val="000D7660"/>
    <w:rsid w:val="000E0460"/>
    <w:rsid w:val="000E5B99"/>
    <w:rsid w:val="000E7399"/>
    <w:rsid w:val="000F18B8"/>
    <w:rsid w:val="000F2483"/>
    <w:rsid w:val="000F2D50"/>
    <w:rsid w:val="000F34D8"/>
    <w:rsid w:val="000F362C"/>
    <w:rsid w:val="000F363A"/>
    <w:rsid w:val="000F477E"/>
    <w:rsid w:val="000F4C49"/>
    <w:rsid w:val="000F778C"/>
    <w:rsid w:val="0010108C"/>
    <w:rsid w:val="00102E1A"/>
    <w:rsid w:val="00103D26"/>
    <w:rsid w:val="001043E2"/>
    <w:rsid w:val="001049EB"/>
    <w:rsid w:val="001069D3"/>
    <w:rsid w:val="00106CFD"/>
    <w:rsid w:val="00107292"/>
    <w:rsid w:val="00113F4E"/>
    <w:rsid w:val="00113FB4"/>
    <w:rsid w:val="00114815"/>
    <w:rsid w:val="001151E0"/>
    <w:rsid w:val="00117637"/>
    <w:rsid w:val="00117CFF"/>
    <w:rsid w:val="00122DFF"/>
    <w:rsid w:val="00131099"/>
    <w:rsid w:val="0013530F"/>
    <w:rsid w:val="00135DAD"/>
    <w:rsid w:val="00136907"/>
    <w:rsid w:val="00140AD6"/>
    <w:rsid w:val="001411F4"/>
    <w:rsid w:val="001424B5"/>
    <w:rsid w:val="00142676"/>
    <w:rsid w:val="00142A12"/>
    <w:rsid w:val="001430B5"/>
    <w:rsid w:val="00147C52"/>
    <w:rsid w:val="00147FA0"/>
    <w:rsid w:val="0015092B"/>
    <w:rsid w:val="001557EE"/>
    <w:rsid w:val="001562CB"/>
    <w:rsid w:val="00157668"/>
    <w:rsid w:val="00160036"/>
    <w:rsid w:val="00160D1F"/>
    <w:rsid w:val="00160FBE"/>
    <w:rsid w:val="001639C9"/>
    <w:rsid w:val="001644C9"/>
    <w:rsid w:val="00166E1E"/>
    <w:rsid w:val="00170D7C"/>
    <w:rsid w:val="001713B3"/>
    <w:rsid w:val="00173816"/>
    <w:rsid w:val="0017577C"/>
    <w:rsid w:val="00180503"/>
    <w:rsid w:val="00182385"/>
    <w:rsid w:val="00183440"/>
    <w:rsid w:val="0018594E"/>
    <w:rsid w:val="00187E4E"/>
    <w:rsid w:val="00195A05"/>
    <w:rsid w:val="00196122"/>
    <w:rsid w:val="00197C96"/>
    <w:rsid w:val="001A31CF"/>
    <w:rsid w:val="001A4BCE"/>
    <w:rsid w:val="001B086D"/>
    <w:rsid w:val="001B2AD4"/>
    <w:rsid w:val="001B4E15"/>
    <w:rsid w:val="001B51CB"/>
    <w:rsid w:val="001B58C5"/>
    <w:rsid w:val="001C039B"/>
    <w:rsid w:val="001C3097"/>
    <w:rsid w:val="001C6B4C"/>
    <w:rsid w:val="001C7F05"/>
    <w:rsid w:val="001D0664"/>
    <w:rsid w:val="001D1B38"/>
    <w:rsid w:val="001D7848"/>
    <w:rsid w:val="001E1E00"/>
    <w:rsid w:val="001E3992"/>
    <w:rsid w:val="001E458F"/>
    <w:rsid w:val="001E6B0B"/>
    <w:rsid w:val="001E7756"/>
    <w:rsid w:val="001F043E"/>
    <w:rsid w:val="001F559F"/>
    <w:rsid w:val="001F5782"/>
    <w:rsid w:val="00200A30"/>
    <w:rsid w:val="0020397A"/>
    <w:rsid w:val="00206FBB"/>
    <w:rsid w:val="00207B57"/>
    <w:rsid w:val="002115F8"/>
    <w:rsid w:val="00213271"/>
    <w:rsid w:val="00216D3F"/>
    <w:rsid w:val="00221505"/>
    <w:rsid w:val="00223E6F"/>
    <w:rsid w:val="002247D3"/>
    <w:rsid w:val="0022570C"/>
    <w:rsid w:val="0023161B"/>
    <w:rsid w:val="0023167C"/>
    <w:rsid w:val="00232CE7"/>
    <w:rsid w:val="00235B18"/>
    <w:rsid w:val="002400D2"/>
    <w:rsid w:val="00240785"/>
    <w:rsid w:val="00240DFB"/>
    <w:rsid w:val="0024460A"/>
    <w:rsid w:val="00245C36"/>
    <w:rsid w:val="002461AB"/>
    <w:rsid w:val="00247D7D"/>
    <w:rsid w:val="0025014B"/>
    <w:rsid w:val="002523B6"/>
    <w:rsid w:val="00252B41"/>
    <w:rsid w:val="00253C6F"/>
    <w:rsid w:val="00254363"/>
    <w:rsid w:val="002559BB"/>
    <w:rsid w:val="002564DE"/>
    <w:rsid w:val="00256818"/>
    <w:rsid w:val="00257C35"/>
    <w:rsid w:val="0026414F"/>
    <w:rsid w:val="0026715A"/>
    <w:rsid w:val="0027321C"/>
    <w:rsid w:val="00283A6C"/>
    <w:rsid w:val="00284787"/>
    <w:rsid w:val="00286856"/>
    <w:rsid w:val="00290BC7"/>
    <w:rsid w:val="00290CDD"/>
    <w:rsid w:val="0029223D"/>
    <w:rsid w:val="002937F4"/>
    <w:rsid w:val="00294975"/>
    <w:rsid w:val="002960AF"/>
    <w:rsid w:val="00296D09"/>
    <w:rsid w:val="002A34C2"/>
    <w:rsid w:val="002A5439"/>
    <w:rsid w:val="002A5B88"/>
    <w:rsid w:val="002A633E"/>
    <w:rsid w:val="002A7767"/>
    <w:rsid w:val="002B1D0B"/>
    <w:rsid w:val="002B4A07"/>
    <w:rsid w:val="002B74DF"/>
    <w:rsid w:val="002C22C3"/>
    <w:rsid w:val="002C2AA7"/>
    <w:rsid w:val="002C4E3C"/>
    <w:rsid w:val="002D03C1"/>
    <w:rsid w:val="002D05BB"/>
    <w:rsid w:val="002D10A5"/>
    <w:rsid w:val="002D2F82"/>
    <w:rsid w:val="002D3081"/>
    <w:rsid w:val="002D6EAD"/>
    <w:rsid w:val="002E1B8F"/>
    <w:rsid w:val="002E447E"/>
    <w:rsid w:val="002E4EAE"/>
    <w:rsid w:val="002E79B8"/>
    <w:rsid w:val="002F1025"/>
    <w:rsid w:val="002F2765"/>
    <w:rsid w:val="002F4E88"/>
    <w:rsid w:val="002F5E1F"/>
    <w:rsid w:val="00301FD3"/>
    <w:rsid w:val="00302DD3"/>
    <w:rsid w:val="003042C3"/>
    <w:rsid w:val="003069E1"/>
    <w:rsid w:val="00306C22"/>
    <w:rsid w:val="0031044E"/>
    <w:rsid w:val="003106B2"/>
    <w:rsid w:val="00310C1B"/>
    <w:rsid w:val="00310C3C"/>
    <w:rsid w:val="00311940"/>
    <w:rsid w:val="003156D6"/>
    <w:rsid w:val="00320E2F"/>
    <w:rsid w:val="00321AD8"/>
    <w:rsid w:val="003225A4"/>
    <w:rsid w:val="003302DF"/>
    <w:rsid w:val="0033030F"/>
    <w:rsid w:val="003305C9"/>
    <w:rsid w:val="00331CFF"/>
    <w:rsid w:val="00331E5C"/>
    <w:rsid w:val="003359D2"/>
    <w:rsid w:val="00335A7E"/>
    <w:rsid w:val="003367A5"/>
    <w:rsid w:val="00336CFD"/>
    <w:rsid w:val="003400B0"/>
    <w:rsid w:val="00341F97"/>
    <w:rsid w:val="003457BE"/>
    <w:rsid w:val="00351CAF"/>
    <w:rsid w:val="00352C4C"/>
    <w:rsid w:val="00352F0B"/>
    <w:rsid w:val="003550D2"/>
    <w:rsid w:val="00357D16"/>
    <w:rsid w:val="00360082"/>
    <w:rsid w:val="00364A47"/>
    <w:rsid w:val="00366EAE"/>
    <w:rsid w:val="003725FF"/>
    <w:rsid w:val="003754D9"/>
    <w:rsid w:val="003760ED"/>
    <w:rsid w:val="00382CA2"/>
    <w:rsid w:val="003858D6"/>
    <w:rsid w:val="003876D3"/>
    <w:rsid w:val="00387994"/>
    <w:rsid w:val="00390216"/>
    <w:rsid w:val="00392DC5"/>
    <w:rsid w:val="0039336A"/>
    <w:rsid w:val="003951A6"/>
    <w:rsid w:val="0039731C"/>
    <w:rsid w:val="003A1927"/>
    <w:rsid w:val="003A415C"/>
    <w:rsid w:val="003A5383"/>
    <w:rsid w:val="003A5EE3"/>
    <w:rsid w:val="003A7D37"/>
    <w:rsid w:val="003B0EC9"/>
    <w:rsid w:val="003B10C6"/>
    <w:rsid w:val="003B1534"/>
    <w:rsid w:val="003B1E07"/>
    <w:rsid w:val="003B3379"/>
    <w:rsid w:val="003B3A8B"/>
    <w:rsid w:val="003B4372"/>
    <w:rsid w:val="003B77C4"/>
    <w:rsid w:val="003B78BE"/>
    <w:rsid w:val="003C35E2"/>
    <w:rsid w:val="003C73AF"/>
    <w:rsid w:val="003D1CCE"/>
    <w:rsid w:val="003D1F8F"/>
    <w:rsid w:val="003D34AA"/>
    <w:rsid w:val="003D3A6C"/>
    <w:rsid w:val="003D43F9"/>
    <w:rsid w:val="003D4965"/>
    <w:rsid w:val="003D5032"/>
    <w:rsid w:val="003D67D0"/>
    <w:rsid w:val="003D7313"/>
    <w:rsid w:val="003E0288"/>
    <w:rsid w:val="003E0775"/>
    <w:rsid w:val="003E19AC"/>
    <w:rsid w:val="003E25F0"/>
    <w:rsid w:val="003E4DAA"/>
    <w:rsid w:val="003E6045"/>
    <w:rsid w:val="003E6443"/>
    <w:rsid w:val="003F288B"/>
    <w:rsid w:val="003F4CC7"/>
    <w:rsid w:val="00402D90"/>
    <w:rsid w:val="0040306D"/>
    <w:rsid w:val="00404367"/>
    <w:rsid w:val="004068A4"/>
    <w:rsid w:val="00410C0B"/>
    <w:rsid w:val="004129ED"/>
    <w:rsid w:val="004169ED"/>
    <w:rsid w:val="00417373"/>
    <w:rsid w:val="004202F5"/>
    <w:rsid w:val="004213AC"/>
    <w:rsid w:val="0042172A"/>
    <w:rsid w:val="00424DCC"/>
    <w:rsid w:val="00427779"/>
    <w:rsid w:val="00427B00"/>
    <w:rsid w:val="004345BF"/>
    <w:rsid w:val="00434D38"/>
    <w:rsid w:val="00436FFC"/>
    <w:rsid w:val="0044567D"/>
    <w:rsid w:val="00451089"/>
    <w:rsid w:val="004515C1"/>
    <w:rsid w:val="004535DB"/>
    <w:rsid w:val="00455A05"/>
    <w:rsid w:val="004566A3"/>
    <w:rsid w:val="004575C0"/>
    <w:rsid w:val="004606E0"/>
    <w:rsid w:val="00463CA1"/>
    <w:rsid w:val="00467951"/>
    <w:rsid w:val="00473657"/>
    <w:rsid w:val="00474CF9"/>
    <w:rsid w:val="00476682"/>
    <w:rsid w:val="00480EF7"/>
    <w:rsid w:val="004855A8"/>
    <w:rsid w:val="00486409"/>
    <w:rsid w:val="00490332"/>
    <w:rsid w:val="00493F42"/>
    <w:rsid w:val="00496934"/>
    <w:rsid w:val="004971E0"/>
    <w:rsid w:val="004A2C19"/>
    <w:rsid w:val="004A53CF"/>
    <w:rsid w:val="004A6A16"/>
    <w:rsid w:val="004A6F09"/>
    <w:rsid w:val="004A701F"/>
    <w:rsid w:val="004A7897"/>
    <w:rsid w:val="004B07A0"/>
    <w:rsid w:val="004B0952"/>
    <w:rsid w:val="004B5655"/>
    <w:rsid w:val="004B6A9D"/>
    <w:rsid w:val="004B6F1D"/>
    <w:rsid w:val="004B7A3A"/>
    <w:rsid w:val="004C1DA9"/>
    <w:rsid w:val="004C2294"/>
    <w:rsid w:val="004D088D"/>
    <w:rsid w:val="004D1C6C"/>
    <w:rsid w:val="004D3D3E"/>
    <w:rsid w:val="004D4054"/>
    <w:rsid w:val="004D4DB1"/>
    <w:rsid w:val="004D55A9"/>
    <w:rsid w:val="004D5ABF"/>
    <w:rsid w:val="004D64B8"/>
    <w:rsid w:val="004D754F"/>
    <w:rsid w:val="004D78C6"/>
    <w:rsid w:val="004D79C3"/>
    <w:rsid w:val="004E459D"/>
    <w:rsid w:val="004E5171"/>
    <w:rsid w:val="004E5F59"/>
    <w:rsid w:val="004E663C"/>
    <w:rsid w:val="004E677D"/>
    <w:rsid w:val="004F1DDD"/>
    <w:rsid w:val="004F4625"/>
    <w:rsid w:val="005011F1"/>
    <w:rsid w:val="00502BA7"/>
    <w:rsid w:val="005043F0"/>
    <w:rsid w:val="005135FD"/>
    <w:rsid w:val="0052160F"/>
    <w:rsid w:val="00521E40"/>
    <w:rsid w:val="00522EBF"/>
    <w:rsid w:val="00530189"/>
    <w:rsid w:val="00532662"/>
    <w:rsid w:val="00536071"/>
    <w:rsid w:val="00536142"/>
    <w:rsid w:val="00536A5F"/>
    <w:rsid w:val="005410E2"/>
    <w:rsid w:val="005412E0"/>
    <w:rsid w:val="005433BD"/>
    <w:rsid w:val="0054455C"/>
    <w:rsid w:val="005466CE"/>
    <w:rsid w:val="00552243"/>
    <w:rsid w:val="005522A3"/>
    <w:rsid w:val="005523AA"/>
    <w:rsid w:val="005603C0"/>
    <w:rsid w:val="005604C4"/>
    <w:rsid w:val="005606EC"/>
    <w:rsid w:val="00561E4E"/>
    <w:rsid w:val="00561EC8"/>
    <w:rsid w:val="0056528F"/>
    <w:rsid w:val="00566005"/>
    <w:rsid w:val="0057179A"/>
    <w:rsid w:val="005837AA"/>
    <w:rsid w:val="00584CAC"/>
    <w:rsid w:val="00584E5C"/>
    <w:rsid w:val="00586576"/>
    <w:rsid w:val="0058711E"/>
    <w:rsid w:val="005918C6"/>
    <w:rsid w:val="005936FC"/>
    <w:rsid w:val="0059413C"/>
    <w:rsid w:val="00594369"/>
    <w:rsid w:val="00594E10"/>
    <w:rsid w:val="005977E0"/>
    <w:rsid w:val="005A1EC9"/>
    <w:rsid w:val="005A2660"/>
    <w:rsid w:val="005A4048"/>
    <w:rsid w:val="005B09D7"/>
    <w:rsid w:val="005B3992"/>
    <w:rsid w:val="005B5935"/>
    <w:rsid w:val="005B7C78"/>
    <w:rsid w:val="005C03D4"/>
    <w:rsid w:val="005C0A34"/>
    <w:rsid w:val="005C12F7"/>
    <w:rsid w:val="005C28D6"/>
    <w:rsid w:val="005C50F3"/>
    <w:rsid w:val="005C5945"/>
    <w:rsid w:val="005C5C72"/>
    <w:rsid w:val="005C5F36"/>
    <w:rsid w:val="005C63F4"/>
    <w:rsid w:val="005C6E6C"/>
    <w:rsid w:val="005C7CB3"/>
    <w:rsid w:val="005D0F33"/>
    <w:rsid w:val="005D0F6C"/>
    <w:rsid w:val="005D1543"/>
    <w:rsid w:val="005D2824"/>
    <w:rsid w:val="005D403B"/>
    <w:rsid w:val="005E14A8"/>
    <w:rsid w:val="005E56F2"/>
    <w:rsid w:val="005F0699"/>
    <w:rsid w:val="005F07DE"/>
    <w:rsid w:val="005F252C"/>
    <w:rsid w:val="00600A21"/>
    <w:rsid w:val="006028FD"/>
    <w:rsid w:val="00610407"/>
    <w:rsid w:val="00610EEB"/>
    <w:rsid w:val="00613F5D"/>
    <w:rsid w:val="00614424"/>
    <w:rsid w:val="0061489C"/>
    <w:rsid w:val="00614C7A"/>
    <w:rsid w:val="006178C8"/>
    <w:rsid w:val="006202CE"/>
    <w:rsid w:val="00620D93"/>
    <w:rsid w:val="00620E82"/>
    <w:rsid w:val="0062116E"/>
    <w:rsid w:val="00621625"/>
    <w:rsid w:val="00623DC3"/>
    <w:rsid w:val="00623EA3"/>
    <w:rsid w:val="006245C7"/>
    <w:rsid w:val="006266C6"/>
    <w:rsid w:val="00626724"/>
    <w:rsid w:val="006273D7"/>
    <w:rsid w:val="00627894"/>
    <w:rsid w:val="00631449"/>
    <w:rsid w:val="0063209A"/>
    <w:rsid w:val="006361C1"/>
    <w:rsid w:val="00636648"/>
    <w:rsid w:val="006425ED"/>
    <w:rsid w:val="006456D9"/>
    <w:rsid w:val="00653649"/>
    <w:rsid w:val="006548A8"/>
    <w:rsid w:val="0066229A"/>
    <w:rsid w:val="00662367"/>
    <w:rsid w:val="00665949"/>
    <w:rsid w:val="00672F7F"/>
    <w:rsid w:val="00675D77"/>
    <w:rsid w:val="0068093D"/>
    <w:rsid w:val="00681433"/>
    <w:rsid w:val="00681668"/>
    <w:rsid w:val="00684706"/>
    <w:rsid w:val="00687FCF"/>
    <w:rsid w:val="006900EB"/>
    <w:rsid w:val="00690430"/>
    <w:rsid w:val="006922F0"/>
    <w:rsid w:val="00693A6A"/>
    <w:rsid w:val="006947E6"/>
    <w:rsid w:val="00696785"/>
    <w:rsid w:val="006968BD"/>
    <w:rsid w:val="006A40A6"/>
    <w:rsid w:val="006A51AF"/>
    <w:rsid w:val="006B2023"/>
    <w:rsid w:val="006B2DF0"/>
    <w:rsid w:val="006B5C5B"/>
    <w:rsid w:val="006B5F66"/>
    <w:rsid w:val="006B6E07"/>
    <w:rsid w:val="006C0A35"/>
    <w:rsid w:val="006C1B32"/>
    <w:rsid w:val="006C2C9A"/>
    <w:rsid w:val="006C740A"/>
    <w:rsid w:val="006C7ACC"/>
    <w:rsid w:val="006D05C5"/>
    <w:rsid w:val="006D181E"/>
    <w:rsid w:val="006D2CF4"/>
    <w:rsid w:val="006D3219"/>
    <w:rsid w:val="006D4BF5"/>
    <w:rsid w:val="006E1412"/>
    <w:rsid w:val="006F5BFE"/>
    <w:rsid w:val="006F6227"/>
    <w:rsid w:val="006F7204"/>
    <w:rsid w:val="00700DC8"/>
    <w:rsid w:val="0070566B"/>
    <w:rsid w:val="0071034B"/>
    <w:rsid w:val="007126CC"/>
    <w:rsid w:val="007134C9"/>
    <w:rsid w:val="00713654"/>
    <w:rsid w:val="007146E7"/>
    <w:rsid w:val="00714B31"/>
    <w:rsid w:val="00715583"/>
    <w:rsid w:val="007163DC"/>
    <w:rsid w:val="00716ABF"/>
    <w:rsid w:val="007179E4"/>
    <w:rsid w:val="00720B46"/>
    <w:rsid w:val="00724962"/>
    <w:rsid w:val="00730140"/>
    <w:rsid w:val="007303E5"/>
    <w:rsid w:val="00730B7D"/>
    <w:rsid w:val="007328D8"/>
    <w:rsid w:val="00740DDF"/>
    <w:rsid w:val="00741288"/>
    <w:rsid w:val="007414E8"/>
    <w:rsid w:val="00743D7C"/>
    <w:rsid w:val="00744F90"/>
    <w:rsid w:val="0075060C"/>
    <w:rsid w:val="00753929"/>
    <w:rsid w:val="00756351"/>
    <w:rsid w:val="00760153"/>
    <w:rsid w:val="00762A37"/>
    <w:rsid w:val="00763D16"/>
    <w:rsid w:val="00771265"/>
    <w:rsid w:val="00773A7C"/>
    <w:rsid w:val="00774273"/>
    <w:rsid w:val="00775E30"/>
    <w:rsid w:val="0078143F"/>
    <w:rsid w:val="007816DB"/>
    <w:rsid w:val="00785507"/>
    <w:rsid w:val="007872B6"/>
    <w:rsid w:val="007900A8"/>
    <w:rsid w:val="00791388"/>
    <w:rsid w:val="00791D40"/>
    <w:rsid w:val="007927A7"/>
    <w:rsid w:val="0079384A"/>
    <w:rsid w:val="007A13F2"/>
    <w:rsid w:val="007A2B7F"/>
    <w:rsid w:val="007A5892"/>
    <w:rsid w:val="007B051F"/>
    <w:rsid w:val="007B185E"/>
    <w:rsid w:val="007B3988"/>
    <w:rsid w:val="007B3C53"/>
    <w:rsid w:val="007B50F2"/>
    <w:rsid w:val="007B539E"/>
    <w:rsid w:val="007B6232"/>
    <w:rsid w:val="007B7931"/>
    <w:rsid w:val="007B7CE1"/>
    <w:rsid w:val="007C09A9"/>
    <w:rsid w:val="007C2FB8"/>
    <w:rsid w:val="007C3123"/>
    <w:rsid w:val="007C3FD3"/>
    <w:rsid w:val="007C648F"/>
    <w:rsid w:val="007C6EC6"/>
    <w:rsid w:val="007D0364"/>
    <w:rsid w:val="007D0E38"/>
    <w:rsid w:val="007D22EF"/>
    <w:rsid w:val="007D32DB"/>
    <w:rsid w:val="007D3CDA"/>
    <w:rsid w:val="007D5910"/>
    <w:rsid w:val="007D6B4F"/>
    <w:rsid w:val="007E2774"/>
    <w:rsid w:val="007E28B8"/>
    <w:rsid w:val="007E3A44"/>
    <w:rsid w:val="007E4BE5"/>
    <w:rsid w:val="007E546E"/>
    <w:rsid w:val="007E6183"/>
    <w:rsid w:val="007E633E"/>
    <w:rsid w:val="007E7492"/>
    <w:rsid w:val="007F3CD2"/>
    <w:rsid w:val="007F45E5"/>
    <w:rsid w:val="00800B47"/>
    <w:rsid w:val="00802B4E"/>
    <w:rsid w:val="00807CC2"/>
    <w:rsid w:val="00810EA5"/>
    <w:rsid w:val="00813380"/>
    <w:rsid w:val="00815220"/>
    <w:rsid w:val="008153E2"/>
    <w:rsid w:val="0081665E"/>
    <w:rsid w:val="00821245"/>
    <w:rsid w:val="008263FB"/>
    <w:rsid w:val="008272B3"/>
    <w:rsid w:val="008278A0"/>
    <w:rsid w:val="0082798E"/>
    <w:rsid w:val="008310A7"/>
    <w:rsid w:val="00832972"/>
    <w:rsid w:val="00832A1A"/>
    <w:rsid w:val="00840C61"/>
    <w:rsid w:val="00841B70"/>
    <w:rsid w:val="00841DD7"/>
    <w:rsid w:val="00843322"/>
    <w:rsid w:val="00845197"/>
    <w:rsid w:val="00845572"/>
    <w:rsid w:val="00845EEE"/>
    <w:rsid w:val="008467EB"/>
    <w:rsid w:val="008478B3"/>
    <w:rsid w:val="008506DA"/>
    <w:rsid w:val="00850DEA"/>
    <w:rsid w:val="0085598E"/>
    <w:rsid w:val="00857136"/>
    <w:rsid w:val="00860CD7"/>
    <w:rsid w:val="00863226"/>
    <w:rsid w:val="008637F1"/>
    <w:rsid w:val="00864742"/>
    <w:rsid w:val="00866DE4"/>
    <w:rsid w:val="00867A66"/>
    <w:rsid w:val="00867FEE"/>
    <w:rsid w:val="008773C5"/>
    <w:rsid w:val="00882FC7"/>
    <w:rsid w:val="00883845"/>
    <w:rsid w:val="00884E08"/>
    <w:rsid w:val="00886E37"/>
    <w:rsid w:val="008909F2"/>
    <w:rsid w:val="0089137D"/>
    <w:rsid w:val="00891D6F"/>
    <w:rsid w:val="00894926"/>
    <w:rsid w:val="0089517B"/>
    <w:rsid w:val="008A74D2"/>
    <w:rsid w:val="008B64C9"/>
    <w:rsid w:val="008B64D8"/>
    <w:rsid w:val="008B652B"/>
    <w:rsid w:val="008D126D"/>
    <w:rsid w:val="008D1B5B"/>
    <w:rsid w:val="008D1D34"/>
    <w:rsid w:val="008D275D"/>
    <w:rsid w:val="008D2A36"/>
    <w:rsid w:val="008D2F06"/>
    <w:rsid w:val="008D33AE"/>
    <w:rsid w:val="008D3BE7"/>
    <w:rsid w:val="008D4476"/>
    <w:rsid w:val="008D4E2B"/>
    <w:rsid w:val="008E017C"/>
    <w:rsid w:val="008E0B5D"/>
    <w:rsid w:val="008E0C7E"/>
    <w:rsid w:val="008E1A08"/>
    <w:rsid w:val="008E455A"/>
    <w:rsid w:val="008E4C26"/>
    <w:rsid w:val="008E4D55"/>
    <w:rsid w:val="008E5221"/>
    <w:rsid w:val="008F0069"/>
    <w:rsid w:val="008F06F4"/>
    <w:rsid w:val="008F3039"/>
    <w:rsid w:val="008F57BC"/>
    <w:rsid w:val="008F6643"/>
    <w:rsid w:val="009006F1"/>
    <w:rsid w:val="009019BE"/>
    <w:rsid w:val="00904B0D"/>
    <w:rsid w:val="00911807"/>
    <w:rsid w:val="009118E4"/>
    <w:rsid w:val="00911A93"/>
    <w:rsid w:val="00912573"/>
    <w:rsid w:val="00915239"/>
    <w:rsid w:val="00915E71"/>
    <w:rsid w:val="00916E33"/>
    <w:rsid w:val="00917412"/>
    <w:rsid w:val="00917496"/>
    <w:rsid w:val="00921080"/>
    <w:rsid w:val="00921894"/>
    <w:rsid w:val="00924685"/>
    <w:rsid w:val="009247F2"/>
    <w:rsid w:val="0092538D"/>
    <w:rsid w:val="00925772"/>
    <w:rsid w:val="00926EFE"/>
    <w:rsid w:val="009340DE"/>
    <w:rsid w:val="009420C5"/>
    <w:rsid w:val="00942D1D"/>
    <w:rsid w:val="00943B21"/>
    <w:rsid w:val="00944E1B"/>
    <w:rsid w:val="00954E02"/>
    <w:rsid w:val="00955910"/>
    <w:rsid w:val="00956DC4"/>
    <w:rsid w:val="00957287"/>
    <w:rsid w:val="00960369"/>
    <w:rsid w:val="00961986"/>
    <w:rsid w:val="00964209"/>
    <w:rsid w:val="00964EE6"/>
    <w:rsid w:val="00965339"/>
    <w:rsid w:val="00970191"/>
    <w:rsid w:val="00970358"/>
    <w:rsid w:val="00971041"/>
    <w:rsid w:val="0097115C"/>
    <w:rsid w:val="00971BA2"/>
    <w:rsid w:val="00972559"/>
    <w:rsid w:val="00973441"/>
    <w:rsid w:val="00973CA6"/>
    <w:rsid w:val="009751E9"/>
    <w:rsid w:val="00975E73"/>
    <w:rsid w:val="009833A0"/>
    <w:rsid w:val="00983E4E"/>
    <w:rsid w:val="00984864"/>
    <w:rsid w:val="00986D08"/>
    <w:rsid w:val="00987F13"/>
    <w:rsid w:val="009913B6"/>
    <w:rsid w:val="009930F7"/>
    <w:rsid w:val="00994D38"/>
    <w:rsid w:val="009954EA"/>
    <w:rsid w:val="00996FE1"/>
    <w:rsid w:val="00997F23"/>
    <w:rsid w:val="009A2B48"/>
    <w:rsid w:val="009A3160"/>
    <w:rsid w:val="009A3DA3"/>
    <w:rsid w:val="009A658E"/>
    <w:rsid w:val="009B090F"/>
    <w:rsid w:val="009B1430"/>
    <w:rsid w:val="009B14F6"/>
    <w:rsid w:val="009B22DD"/>
    <w:rsid w:val="009B3373"/>
    <w:rsid w:val="009B33ED"/>
    <w:rsid w:val="009B3682"/>
    <w:rsid w:val="009B3AF5"/>
    <w:rsid w:val="009B5D02"/>
    <w:rsid w:val="009B79C5"/>
    <w:rsid w:val="009B7BE5"/>
    <w:rsid w:val="009C5F3D"/>
    <w:rsid w:val="009C64F4"/>
    <w:rsid w:val="009D0EA5"/>
    <w:rsid w:val="009D3A84"/>
    <w:rsid w:val="009D4426"/>
    <w:rsid w:val="009D4CAF"/>
    <w:rsid w:val="009D7F65"/>
    <w:rsid w:val="009E0D77"/>
    <w:rsid w:val="009E1D05"/>
    <w:rsid w:val="009E4268"/>
    <w:rsid w:val="009F07D4"/>
    <w:rsid w:val="009F34C7"/>
    <w:rsid w:val="009F3522"/>
    <w:rsid w:val="009F5816"/>
    <w:rsid w:val="00A01458"/>
    <w:rsid w:val="00A01FB1"/>
    <w:rsid w:val="00A023F5"/>
    <w:rsid w:val="00A02517"/>
    <w:rsid w:val="00A044DE"/>
    <w:rsid w:val="00A047AA"/>
    <w:rsid w:val="00A052DE"/>
    <w:rsid w:val="00A05CF5"/>
    <w:rsid w:val="00A05FBE"/>
    <w:rsid w:val="00A074BE"/>
    <w:rsid w:val="00A105D2"/>
    <w:rsid w:val="00A10FD1"/>
    <w:rsid w:val="00A125A9"/>
    <w:rsid w:val="00A126AD"/>
    <w:rsid w:val="00A14574"/>
    <w:rsid w:val="00A165DB"/>
    <w:rsid w:val="00A176FB"/>
    <w:rsid w:val="00A21265"/>
    <w:rsid w:val="00A24D55"/>
    <w:rsid w:val="00A2537A"/>
    <w:rsid w:val="00A25B81"/>
    <w:rsid w:val="00A261B2"/>
    <w:rsid w:val="00A277D3"/>
    <w:rsid w:val="00A31139"/>
    <w:rsid w:val="00A31611"/>
    <w:rsid w:val="00A34BD2"/>
    <w:rsid w:val="00A35F0C"/>
    <w:rsid w:val="00A40045"/>
    <w:rsid w:val="00A42A05"/>
    <w:rsid w:val="00A430EF"/>
    <w:rsid w:val="00A45D58"/>
    <w:rsid w:val="00A46515"/>
    <w:rsid w:val="00A46C7F"/>
    <w:rsid w:val="00A47EA1"/>
    <w:rsid w:val="00A5150B"/>
    <w:rsid w:val="00A52550"/>
    <w:rsid w:val="00A55C8B"/>
    <w:rsid w:val="00A568CD"/>
    <w:rsid w:val="00A60212"/>
    <w:rsid w:val="00A61835"/>
    <w:rsid w:val="00A64C3E"/>
    <w:rsid w:val="00A64D4A"/>
    <w:rsid w:val="00A724B7"/>
    <w:rsid w:val="00A7279C"/>
    <w:rsid w:val="00A72B24"/>
    <w:rsid w:val="00A7338C"/>
    <w:rsid w:val="00A75AC9"/>
    <w:rsid w:val="00A765C1"/>
    <w:rsid w:val="00A811F0"/>
    <w:rsid w:val="00A843A1"/>
    <w:rsid w:val="00A84572"/>
    <w:rsid w:val="00A85D28"/>
    <w:rsid w:val="00A913FE"/>
    <w:rsid w:val="00AA1516"/>
    <w:rsid w:val="00AA15DC"/>
    <w:rsid w:val="00AA483F"/>
    <w:rsid w:val="00AA727A"/>
    <w:rsid w:val="00AB170D"/>
    <w:rsid w:val="00AB2EB1"/>
    <w:rsid w:val="00AB3237"/>
    <w:rsid w:val="00AB489D"/>
    <w:rsid w:val="00AB542D"/>
    <w:rsid w:val="00AB56AB"/>
    <w:rsid w:val="00AB5894"/>
    <w:rsid w:val="00AB6219"/>
    <w:rsid w:val="00AB68BD"/>
    <w:rsid w:val="00AB7023"/>
    <w:rsid w:val="00AD133D"/>
    <w:rsid w:val="00AD2E15"/>
    <w:rsid w:val="00AD7708"/>
    <w:rsid w:val="00AE0116"/>
    <w:rsid w:val="00AE0176"/>
    <w:rsid w:val="00AE0929"/>
    <w:rsid w:val="00AE1446"/>
    <w:rsid w:val="00AE29C1"/>
    <w:rsid w:val="00AE4647"/>
    <w:rsid w:val="00AE5491"/>
    <w:rsid w:val="00AF2876"/>
    <w:rsid w:val="00AF2E4A"/>
    <w:rsid w:val="00AF609B"/>
    <w:rsid w:val="00AF67CE"/>
    <w:rsid w:val="00B00D17"/>
    <w:rsid w:val="00B00D1D"/>
    <w:rsid w:val="00B0138A"/>
    <w:rsid w:val="00B01593"/>
    <w:rsid w:val="00B01C90"/>
    <w:rsid w:val="00B03E3F"/>
    <w:rsid w:val="00B055CC"/>
    <w:rsid w:val="00B06530"/>
    <w:rsid w:val="00B13297"/>
    <w:rsid w:val="00B168B5"/>
    <w:rsid w:val="00B17B0D"/>
    <w:rsid w:val="00B225E9"/>
    <w:rsid w:val="00B236F4"/>
    <w:rsid w:val="00B302AF"/>
    <w:rsid w:val="00B33CB7"/>
    <w:rsid w:val="00B35091"/>
    <w:rsid w:val="00B374D4"/>
    <w:rsid w:val="00B37BE1"/>
    <w:rsid w:val="00B40B9F"/>
    <w:rsid w:val="00B4147A"/>
    <w:rsid w:val="00B43D19"/>
    <w:rsid w:val="00B4670B"/>
    <w:rsid w:val="00B47CF4"/>
    <w:rsid w:val="00B50A70"/>
    <w:rsid w:val="00B51162"/>
    <w:rsid w:val="00B539CC"/>
    <w:rsid w:val="00B54081"/>
    <w:rsid w:val="00B54657"/>
    <w:rsid w:val="00B62AF9"/>
    <w:rsid w:val="00B65C29"/>
    <w:rsid w:val="00B71F84"/>
    <w:rsid w:val="00B74FA1"/>
    <w:rsid w:val="00B75ACC"/>
    <w:rsid w:val="00B80C5C"/>
    <w:rsid w:val="00B82043"/>
    <w:rsid w:val="00B82B58"/>
    <w:rsid w:val="00B82D64"/>
    <w:rsid w:val="00B852D9"/>
    <w:rsid w:val="00B92A8A"/>
    <w:rsid w:val="00B93EC7"/>
    <w:rsid w:val="00B95B04"/>
    <w:rsid w:val="00BA1512"/>
    <w:rsid w:val="00BA2FC1"/>
    <w:rsid w:val="00BA300C"/>
    <w:rsid w:val="00BA5500"/>
    <w:rsid w:val="00BA691B"/>
    <w:rsid w:val="00BA6D32"/>
    <w:rsid w:val="00BA6D6C"/>
    <w:rsid w:val="00BB39BF"/>
    <w:rsid w:val="00BB3A45"/>
    <w:rsid w:val="00BB75E3"/>
    <w:rsid w:val="00BC0526"/>
    <w:rsid w:val="00BC0E5B"/>
    <w:rsid w:val="00BC1EF6"/>
    <w:rsid w:val="00BC3798"/>
    <w:rsid w:val="00BC793E"/>
    <w:rsid w:val="00BD2512"/>
    <w:rsid w:val="00BD29D8"/>
    <w:rsid w:val="00BD616B"/>
    <w:rsid w:val="00BE1C53"/>
    <w:rsid w:val="00BE1FE8"/>
    <w:rsid w:val="00BE2E2F"/>
    <w:rsid w:val="00BE3387"/>
    <w:rsid w:val="00BE47FB"/>
    <w:rsid w:val="00BF3424"/>
    <w:rsid w:val="00BF50FB"/>
    <w:rsid w:val="00BF6F39"/>
    <w:rsid w:val="00C125FB"/>
    <w:rsid w:val="00C12734"/>
    <w:rsid w:val="00C12BB2"/>
    <w:rsid w:val="00C136C3"/>
    <w:rsid w:val="00C15A5D"/>
    <w:rsid w:val="00C23D71"/>
    <w:rsid w:val="00C31D66"/>
    <w:rsid w:val="00C32D5C"/>
    <w:rsid w:val="00C34F67"/>
    <w:rsid w:val="00C35B82"/>
    <w:rsid w:val="00C36477"/>
    <w:rsid w:val="00C405B6"/>
    <w:rsid w:val="00C421D3"/>
    <w:rsid w:val="00C46418"/>
    <w:rsid w:val="00C46777"/>
    <w:rsid w:val="00C472D5"/>
    <w:rsid w:val="00C52152"/>
    <w:rsid w:val="00C56D55"/>
    <w:rsid w:val="00C57478"/>
    <w:rsid w:val="00C61C90"/>
    <w:rsid w:val="00C6292C"/>
    <w:rsid w:val="00C6755B"/>
    <w:rsid w:val="00C67972"/>
    <w:rsid w:val="00C71333"/>
    <w:rsid w:val="00C734DB"/>
    <w:rsid w:val="00C77AF5"/>
    <w:rsid w:val="00C8016A"/>
    <w:rsid w:val="00C80F08"/>
    <w:rsid w:val="00C814D7"/>
    <w:rsid w:val="00C93165"/>
    <w:rsid w:val="00C96C1F"/>
    <w:rsid w:val="00C97696"/>
    <w:rsid w:val="00C97C72"/>
    <w:rsid w:val="00CA1198"/>
    <w:rsid w:val="00CA17F9"/>
    <w:rsid w:val="00CA5DE6"/>
    <w:rsid w:val="00CA6B4C"/>
    <w:rsid w:val="00CA6BA7"/>
    <w:rsid w:val="00CA7E20"/>
    <w:rsid w:val="00CB03FA"/>
    <w:rsid w:val="00CB052E"/>
    <w:rsid w:val="00CB3916"/>
    <w:rsid w:val="00CB77F0"/>
    <w:rsid w:val="00CC28DD"/>
    <w:rsid w:val="00CC407A"/>
    <w:rsid w:val="00CC49C0"/>
    <w:rsid w:val="00CD2B87"/>
    <w:rsid w:val="00CD3C1F"/>
    <w:rsid w:val="00CE000A"/>
    <w:rsid w:val="00CE10CC"/>
    <w:rsid w:val="00CE6341"/>
    <w:rsid w:val="00CE744E"/>
    <w:rsid w:val="00CF0AA4"/>
    <w:rsid w:val="00CF448B"/>
    <w:rsid w:val="00CF4796"/>
    <w:rsid w:val="00CF5BD8"/>
    <w:rsid w:val="00CF61BB"/>
    <w:rsid w:val="00CF7A32"/>
    <w:rsid w:val="00CF7DAA"/>
    <w:rsid w:val="00D02C5B"/>
    <w:rsid w:val="00D02FFF"/>
    <w:rsid w:val="00D03F4C"/>
    <w:rsid w:val="00D04A3A"/>
    <w:rsid w:val="00D07E85"/>
    <w:rsid w:val="00D10FF2"/>
    <w:rsid w:val="00D14CAE"/>
    <w:rsid w:val="00D17C13"/>
    <w:rsid w:val="00D23854"/>
    <w:rsid w:val="00D23863"/>
    <w:rsid w:val="00D2406D"/>
    <w:rsid w:val="00D254E0"/>
    <w:rsid w:val="00D25FC3"/>
    <w:rsid w:val="00D2738C"/>
    <w:rsid w:val="00D27F3A"/>
    <w:rsid w:val="00D31C4B"/>
    <w:rsid w:val="00D33275"/>
    <w:rsid w:val="00D34E67"/>
    <w:rsid w:val="00D35DA1"/>
    <w:rsid w:val="00D35E70"/>
    <w:rsid w:val="00D36F39"/>
    <w:rsid w:val="00D37911"/>
    <w:rsid w:val="00D37AAB"/>
    <w:rsid w:val="00D37E02"/>
    <w:rsid w:val="00D401A7"/>
    <w:rsid w:val="00D40E08"/>
    <w:rsid w:val="00D41CBC"/>
    <w:rsid w:val="00D446F5"/>
    <w:rsid w:val="00D455EA"/>
    <w:rsid w:val="00D458FF"/>
    <w:rsid w:val="00D47D8D"/>
    <w:rsid w:val="00D47E41"/>
    <w:rsid w:val="00D5267D"/>
    <w:rsid w:val="00D54518"/>
    <w:rsid w:val="00D575C6"/>
    <w:rsid w:val="00D61CEA"/>
    <w:rsid w:val="00D62E1F"/>
    <w:rsid w:val="00D631EB"/>
    <w:rsid w:val="00D660DA"/>
    <w:rsid w:val="00D66504"/>
    <w:rsid w:val="00D6765F"/>
    <w:rsid w:val="00D7283E"/>
    <w:rsid w:val="00D72A26"/>
    <w:rsid w:val="00D7645E"/>
    <w:rsid w:val="00D76F9F"/>
    <w:rsid w:val="00D804CF"/>
    <w:rsid w:val="00D81E3D"/>
    <w:rsid w:val="00D85185"/>
    <w:rsid w:val="00D87ACA"/>
    <w:rsid w:val="00D9026D"/>
    <w:rsid w:val="00D90B27"/>
    <w:rsid w:val="00D912CE"/>
    <w:rsid w:val="00D93829"/>
    <w:rsid w:val="00D93DEB"/>
    <w:rsid w:val="00D94585"/>
    <w:rsid w:val="00D94604"/>
    <w:rsid w:val="00D94FEE"/>
    <w:rsid w:val="00D95A42"/>
    <w:rsid w:val="00D96B7F"/>
    <w:rsid w:val="00DA1693"/>
    <w:rsid w:val="00DA36FF"/>
    <w:rsid w:val="00DA74A7"/>
    <w:rsid w:val="00DB2661"/>
    <w:rsid w:val="00DB2BEA"/>
    <w:rsid w:val="00DB2C9C"/>
    <w:rsid w:val="00DB3057"/>
    <w:rsid w:val="00DB5CC2"/>
    <w:rsid w:val="00DB601F"/>
    <w:rsid w:val="00DB7326"/>
    <w:rsid w:val="00DC0A60"/>
    <w:rsid w:val="00DC0ACC"/>
    <w:rsid w:val="00DC3956"/>
    <w:rsid w:val="00DC4ABE"/>
    <w:rsid w:val="00DC6DD1"/>
    <w:rsid w:val="00DD01F2"/>
    <w:rsid w:val="00DD1047"/>
    <w:rsid w:val="00DD1B9F"/>
    <w:rsid w:val="00DD4B3E"/>
    <w:rsid w:val="00DD5D95"/>
    <w:rsid w:val="00DE04A9"/>
    <w:rsid w:val="00DE2EE1"/>
    <w:rsid w:val="00DE35CC"/>
    <w:rsid w:val="00DE5A22"/>
    <w:rsid w:val="00DE6A33"/>
    <w:rsid w:val="00DE7C21"/>
    <w:rsid w:val="00DF007F"/>
    <w:rsid w:val="00DF0A95"/>
    <w:rsid w:val="00DF1E20"/>
    <w:rsid w:val="00DF54A2"/>
    <w:rsid w:val="00DF55EC"/>
    <w:rsid w:val="00DF6F78"/>
    <w:rsid w:val="00E0136B"/>
    <w:rsid w:val="00E0164F"/>
    <w:rsid w:val="00E0306D"/>
    <w:rsid w:val="00E03F93"/>
    <w:rsid w:val="00E044B4"/>
    <w:rsid w:val="00E0742D"/>
    <w:rsid w:val="00E101E4"/>
    <w:rsid w:val="00E1059C"/>
    <w:rsid w:val="00E12507"/>
    <w:rsid w:val="00E12997"/>
    <w:rsid w:val="00E12D87"/>
    <w:rsid w:val="00E14463"/>
    <w:rsid w:val="00E15507"/>
    <w:rsid w:val="00E17EBC"/>
    <w:rsid w:val="00E21182"/>
    <w:rsid w:val="00E21A81"/>
    <w:rsid w:val="00E258DF"/>
    <w:rsid w:val="00E2679C"/>
    <w:rsid w:val="00E326B7"/>
    <w:rsid w:val="00E32772"/>
    <w:rsid w:val="00E33E48"/>
    <w:rsid w:val="00E35719"/>
    <w:rsid w:val="00E37F1A"/>
    <w:rsid w:val="00E4267F"/>
    <w:rsid w:val="00E42B7A"/>
    <w:rsid w:val="00E45126"/>
    <w:rsid w:val="00E5359C"/>
    <w:rsid w:val="00E54A2E"/>
    <w:rsid w:val="00E56D21"/>
    <w:rsid w:val="00E57DE3"/>
    <w:rsid w:val="00E61F1C"/>
    <w:rsid w:val="00E62897"/>
    <w:rsid w:val="00E6353E"/>
    <w:rsid w:val="00E63948"/>
    <w:rsid w:val="00E63C7A"/>
    <w:rsid w:val="00E63EDA"/>
    <w:rsid w:val="00E6573A"/>
    <w:rsid w:val="00E665AB"/>
    <w:rsid w:val="00E670B0"/>
    <w:rsid w:val="00E7001C"/>
    <w:rsid w:val="00E7061C"/>
    <w:rsid w:val="00E70D0A"/>
    <w:rsid w:val="00E71B28"/>
    <w:rsid w:val="00E7210E"/>
    <w:rsid w:val="00E730BB"/>
    <w:rsid w:val="00E74B5A"/>
    <w:rsid w:val="00E7690C"/>
    <w:rsid w:val="00E76B89"/>
    <w:rsid w:val="00E82A79"/>
    <w:rsid w:val="00E83402"/>
    <w:rsid w:val="00E83AC5"/>
    <w:rsid w:val="00E83EF7"/>
    <w:rsid w:val="00E85715"/>
    <w:rsid w:val="00E907EA"/>
    <w:rsid w:val="00E92261"/>
    <w:rsid w:val="00E923D0"/>
    <w:rsid w:val="00E94CC7"/>
    <w:rsid w:val="00EA01D1"/>
    <w:rsid w:val="00EA184B"/>
    <w:rsid w:val="00EA2307"/>
    <w:rsid w:val="00EA2D67"/>
    <w:rsid w:val="00EA2D92"/>
    <w:rsid w:val="00EA3061"/>
    <w:rsid w:val="00EA55C2"/>
    <w:rsid w:val="00EA7FC0"/>
    <w:rsid w:val="00EB05A6"/>
    <w:rsid w:val="00EB27E6"/>
    <w:rsid w:val="00EB434C"/>
    <w:rsid w:val="00EC2303"/>
    <w:rsid w:val="00EC3CD8"/>
    <w:rsid w:val="00ED0050"/>
    <w:rsid w:val="00ED347D"/>
    <w:rsid w:val="00ED3C06"/>
    <w:rsid w:val="00ED6418"/>
    <w:rsid w:val="00ED76E8"/>
    <w:rsid w:val="00EE2635"/>
    <w:rsid w:val="00EE2FAE"/>
    <w:rsid w:val="00EE3F90"/>
    <w:rsid w:val="00EE4CDA"/>
    <w:rsid w:val="00EE4ED0"/>
    <w:rsid w:val="00EE67D5"/>
    <w:rsid w:val="00EE77F6"/>
    <w:rsid w:val="00F0000D"/>
    <w:rsid w:val="00F01441"/>
    <w:rsid w:val="00F01CDC"/>
    <w:rsid w:val="00F01EED"/>
    <w:rsid w:val="00F02BD6"/>
    <w:rsid w:val="00F03C97"/>
    <w:rsid w:val="00F05C35"/>
    <w:rsid w:val="00F0648A"/>
    <w:rsid w:val="00F0726E"/>
    <w:rsid w:val="00F14114"/>
    <w:rsid w:val="00F14A6D"/>
    <w:rsid w:val="00F23F08"/>
    <w:rsid w:val="00F26CCA"/>
    <w:rsid w:val="00F26FF4"/>
    <w:rsid w:val="00F30FFF"/>
    <w:rsid w:val="00F31764"/>
    <w:rsid w:val="00F31A19"/>
    <w:rsid w:val="00F35D1D"/>
    <w:rsid w:val="00F35E7D"/>
    <w:rsid w:val="00F35E9B"/>
    <w:rsid w:val="00F452A3"/>
    <w:rsid w:val="00F46B92"/>
    <w:rsid w:val="00F5362C"/>
    <w:rsid w:val="00F55C68"/>
    <w:rsid w:val="00F60B90"/>
    <w:rsid w:val="00F631EB"/>
    <w:rsid w:val="00F675E7"/>
    <w:rsid w:val="00F70520"/>
    <w:rsid w:val="00F709E7"/>
    <w:rsid w:val="00F72B34"/>
    <w:rsid w:val="00F73891"/>
    <w:rsid w:val="00F7435A"/>
    <w:rsid w:val="00F76A18"/>
    <w:rsid w:val="00F80CD1"/>
    <w:rsid w:val="00F83B33"/>
    <w:rsid w:val="00F847FB"/>
    <w:rsid w:val="00F85003"/>
    <w:rsid w:val="00F86287"/>
    <w:rsid w:val="00F9241A"/>
    <w:rsid w:val="00F9394A"/>
    <w:rsid w:val="00F93CAC"/>
    <w:rsid w:val="00F97AD5"/>
    <w:rsid w:val="00FA4AFA"/>
    <w:rsid w:val="00FA58DA"/>
    <w:rsid w:val="00FA5DBD"/>
    <w:rsid w:val="00FA6F03"/>
    <w:rsid w:val="00FA7520"/>
    <w:rsid w:val="00FB37F5"/>
    <w:rsid w:val="00FB6FEB"/>
    <w:rsid w:val="00FC17E6"/>
    <w:rsid w:val="00FC7BF1"/>
    <w:rsid w:val="00FD1DA0"/>
    <w:rsid w:val="00FD5BE5"/>
    <w:rsid w:val="00FD7B67"/>
    <w:rsid w:val="00FD7F30"/>
    <w:rsid w:val="00FE10A0"/>
    <w:rsid w:val="00FE1A6A"/>
    <w:rsid w:val="00FE5A66"/>
    <w:rsid w:val="00FE5D1E"/>
    <w:rsid w:val="00FE6661"/>
    <w:rsid w:val="00FE720D"/>
    <w:rsid w:val="00FF1C7D"/>
    <w:rsid w:val="00FF3A68"/>
    <w:rsid w:val="00FF41E1"/>
    <w:rsid w:val="00FF4384"/>
    <w:rsid w:val="00FF4AC1"/>
    <w:rsid w:val="00FF4C03"/>
    <w:rsid w:val="00FF59CF"/>
    <w:rsid w:val="00FF5FEC"/>
    <w:rsid w:val="00FF72F1"/>
    <w:rsid w:val="1DB14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EastAsia" w:cstheme="minorBidi"/>
      <w:kern w:val="0"/>
      <w:sz w:val="22"/>
      <w:szCs w:val="22"/>
      <w:lang w:val="en-US" w:eastAsia="en-US" w:bidi="ar-SA"/>
    </w:rPr>
  </w:style>
  <w:style w:type="paragraph" w:styleId="2">
    <w:name w:val="heading 1"/>
    <w:basedOn w:val="1"/>
    <w:next w:val="1"/>
    <w:link w:val="14"/>
    <w:qFormat/>
    <w:uiPriority w:val="1"/>
    <w:pPr>
      <w:outlineLvl w:val="0"/>
    </w:pPr>
    <w:rPr>
      <w:rFonts w:ascii="宋体" w:hAnsi="宋体" w:eastAsia="宋体"/>
      <w:sz w:val="33"/>
      <w:szCs w:val="33"/>
    </w:rPr>
  </w:style>
  <w:style w:type="paragraph" w:styleId="3">
    <w:name w:val="heading 2"/>
    <w:basedOn w:val="1"/>
    <w:next w:val="1"/>
    <w:link w:val="1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toc 3"/>
    <w:basedOn w:val="1"/>
    <w:next w:val="1"/>
    <w:unhideWhenUsed/>
    <w:qFormat/>
    <w:uiPriority w:val="39"/>
    <w:pPr>
      <w:ind w:left="840" w:leftChars="400"/>
    </w:pPr>
  </w:style>
  <w:style w:type="paragraph" w:styleId="5">
    <w:name w:val="Balloon Text"/>
    <w:basedOn w:val="1"/>
    <w:link w:val="17"/>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style>
  <w:style w:type="paragraph" w:styleId="9">
    <w:name w:val="toc 2"/>
    <w:basedOn w:val="1"/>
    <w:next w:val="1"/>
    <w:unhideWhenUsed/>
    <w:qFormat/>
    <w:uiPriority w:val="39"/>
    <w:pPr>
      <w:ind w:left="420" w:leftChars="200"/>
    </w:p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unhideWhenUsed/>
    <w:qFormat/>
    <w:uiPriority w:val="99"/>
    <w:rPr>
      <w:color w:val="0000FF" w:themeColor="hyperlink"/>
      <w:u w:val="single"/>
      <w14:textFill>
        <w14:solidFill>
          <w14:schemeClr w14:val="hlink"/>
        </w14:solidFill>
      </w14:textFill>
    </w:rPr>
  </w:style>
  <w:style w:type="character" w:customStyle="1" w:styleId="14">
    <w:name w:val="标题 1 Char"/>
    <w:basedOn w:val="12"/>
    <w:link w:val="2"/>
    <w:qFormat/>
    <w:uiPriority w:val="1"/>
    <w:rPr>
      <w:rFonts w:ascii="宋体" w:hAnsi="宋体" w:eastAsia="宋体"/>
      <w:kern w:val="0"/>
      <w:sz w:val="33"/>
      <w:szCs w:val="33"/>
      <w:lang w:eastAsia="en-US"/>
    </w:rPr>
  </w:style>
  <w:style w:type="character" w:customStyle="1" w:styleId="15">
    <w:name w:val="页眉 Char"/>
    <w:basedOn w:val="12"/>
    <w:link w:val="7"/>
    <w:qFormat/>
    <w:uiPriority w:val="99"/>
    <w:rPr>
      <w:kern w:val="0"/>
      <w:sz w:val="18"/>
      <w:szCs w:val="18"/>
      <w:lang w:eastAsia="en-US"/>
    </w:rPr>
  </w:style>
  <w:style w:type="character" w:customStyle="1" w:styleId="16">
    <w:name w:val="页脚 Char"/>
    <w:basedOn w:val="12"/>
    <w:link w:val="6"/>
    <w:qFormat/>
    <w:uiPriority w:val="99"/>
    <w:rPr>
      <w:kern w:val="0"/>
      <w:sz w:val="18"/>
      <w:szCs w:val="18"/>
      <w:lang w:eastAsia="en-US"/>
    </w:rPr>
  </w:style>
  <w:style w:type="character" w:customStyle="1" w:styleId="17">
    <w:name w:val="批注框文本 Char"/>
    <w:basedOn w:val="12"/>
    <w:link w:val="5"/>
    <w:semiHidden/>
    <w:qFormat/>
    <w:uiPriority w:val="99"/>
    <w:rPr>
      <w:kern w:val="0"/>
      <w:sz w:val="18"/>
      <w:szCs w:val="18"/>
      <w:lang w:eastAsia="en-US"/>
    </w:rPr>
  </w:style>
  <w:style w:type="character" w:customStyle="1" w:styleId="18">
    <w:name w:val="标题 2 Char"/>
    <w:basedOn w:val="12"/>
    <w:link w:val="3"/>
    <w:semiHidden/>
    <w:qFormat/>
    <w:uiPriority w:val="9"/>
    <w:rPr>
      <w:rFonts w:asciiTheme="majorHAnsi" w:hAnsiTheme="majorHAnsi" w:eastAsiaTheme="majorEastAsia" w:cstheme="majorBidi"/>
      <w:b/>
      <w:bCs/>
      <w:kern w:val="0"/>
      <w:sz w:val="32"/>
      <w:szCs w:val="32"/>
      <w:lang w:eastAsia="en-US"/>
    </w:rPr>
  </w:style>
  <w:style w:type="paragraph" w:customStyle="1" w:styleId="19">
    <w:name w:val="TOC Heading"/>
    <w:basedOn w:val="2"/>
    <w:next w:val="1"/>
    <w:semiHidden/>
    <w:unhideWhenUsed/>
    <w:qFormat/>
    <w:uiPriority w:val="39"/>
    <w:pPr>
      <w:keepNext/>
      <w:keepLines/>
      <w:widowControl/>
      <w:spacing w:before="480" w:line="276" w:lineRule="auto"/>
      <w:outlineLvl w:val="9"/>
    </w:pPr>
    <w:rPr>
      <w:rFonts w:asciiTheme="majorHAnsi" w:hAnsiTheme="majorHAnsi" w:eastAsiaTheme="majorEastAsia" w:cstheme="majorBidi"/>
      <w:b/>
      <w:bCs/>
      <w:color w:val="376092" w:themeColor="accent1" w:themeShade="BF"/>
      <w:sz w:val="28"/>
      <w:szCs w:val="2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759A5-598C-4EA5-8E91-E1324CD2B9C7}">
  <ds:schemaRefs/>
</ds:datastoreItem>
</file>

<file path=docProps/app.xml><?xml version="1.0" encoding="utf-8"?>
<Properties xmlns="http://schemas.openxmlformats.org/officeDocument/2006/extended-properties" xmlns:vt="http://schemas.openxmlformats.org/officeDocument/2006/docPropsVTypes">
  <Template>Normal</Template>
  <Pages>40</Pages>
  <Words>13063</Words>
  <Characters>13989</Characters>
  <Lines>114</Lines>
  <Paragraphs>32</Paragraphs>
  <TotalTime>0</TotalTime>
  <ScaleCrop>false</ScaleCrop>
  <LinksUpToDate>false</LinksUpToDate>
  <CharactersWithSpaces>14067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2020-08-06T08:16:00Z</dcterms:created>
  <dc:creator>于喆</dc:creator>
  <cp:lastModifiedBy>好玩二十三</cp:lastModifiedBy>
  <cp:lastPrinted>2022-01-21T09:21:00Z</cp:lastPrinted>
  <dcterms:modified xsi:type="dcterms:W3CDTF">2022-09-28T08:37:49Z</dcterms:modified>
  <cp:revision>945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AC91249E062C45DF9A826020A5324BB5</vt:lpwstr>
  </property>
</Properties>
</file>