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“创客中国”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天津市中小企业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创新创业大赛方案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一、“创客中国”大赛主旨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围绕产业链，部署创新链，配置资金链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（一）举办单位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指导单位：工业和信息化部、财政部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主办单位：天津市工业和信息化局、天津市财政局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办单位：天津市中小企业服务中心（以下简称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协办单位：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天津经济技术开发区。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（二）天津区域赛组委会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成  员：天津市工业和信息化局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工业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中小企业创新发展处、天津市财政局经济建设一处、天津市中小企业服务中心、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天津经济技术开发区。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办公室设在中心，负责区域赛的统筹指挥、组织协调和具体执行工作，并由中心组织评审委员会开展相关评审工作，聘请公证部门对区域赛各评审环节进行监督，评审结果在天津市工业和信息化局网站（gyxxh.tj.gov.cn）和天津市中小企业公共服务平台（www.smetj.cn）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三、参赛条件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天津区域赛分企业组和创客组。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企业组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（1）在中国境内注册，符合《中小企业划型标准规定》（工信部联企业〔2011〕300号）文件规定的中小微企业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（2）参赛项目已进入市场，具有良好发展潜力。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（3）拥有自主知识产权且无产权纠纷。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（4）无不良记录。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创客组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（1）遵纪守法的中国公民或团队。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（2）团队核心成员不超过5人。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（3）参赛项目的创意、产品、技术及相关专利归属参赛团队，与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其它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单位或个人无知识产权纠纷。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四、天津区域赛流程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赛事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拟采取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线上线下相结合的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方式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开展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分为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初赛、提升培训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、复赛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和决赛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  <w:t>个阶段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/>
        </w:rPr>
        <w:t>，时间预计为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7月底至8月31日，赛事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举办地点另行通知。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初赛：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评审专家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线上评审参赛者提交的项目资料，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对项目进行遴选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确定晋级复赛项目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提升培训：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采用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现场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培训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方式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，对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晋级复赛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的项目进行辅导，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提升项目水平，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完善参赛资料。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复赛：按企业和创客组进行分组比赛，采取路演方式进行现场评审确定晋级决赛项目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决赛：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采用路演方式现场进行评比，评选出企业组和创客组共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16个优秀项目报工信部组委会入围全国大赛500强备选名单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赛事举办期间如遇疫情等突发情况，组委会将按照市委市政府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“新冠肺炎疫情防控”工作整体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部署要求，及时调整赛事举办方式，视情况改为线上云赛事或延期举办。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（一）名额设置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企业组：根据项目报名情况进行分组，拟定按每组项目数量30%的份额晋级，最终决赛各组权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衡评选出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强优秀项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目，并设一等奖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名；二等奖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名；三等奖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创客组：根据项目报名情况进行分组，拟定按每组项目数量30%的份额晋级，最终决赛各组权衡评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选出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强优秀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项目，并设一等奖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名；二等奖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名；三等奖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（二）奖励设置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区域赛组委会给予一等奖、二等奖、三等奖和优秀项目颁发证书和奖杯，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视情况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给予企业组和创客组的一、二、三等奖项目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奖励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，企业组和创客组的优秀项目择优推荐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入围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00强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备选名单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107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310" w:h="567" w:hRule="exact" w:wrap="around" w:vAnchor="page" w:hAnchor="margin" w:xAlign="outside" w:y="15140"/>
      <w:spacing w:line="280" w:lineRule="exact"/>
      <w:jc w:val="center"/>
      <w:rPr>
        <w:rStyle w:val="5"/>
        <w:rFonts w:hint="eastAsia" w:ascii="宋体" w:hAnsi="宋体"/>
        <w:color w:val="FFFFFF"/>
        <w:sz w:val="28"/>
        <w:szCs w:val="28"/>
      </w:rPr>
    </w:pPr>
    <w:r>
      <w:rPr>
        <w:rFonts w:ascii="宋体" w:hAnsi="宋体"/>
        <w:color w:val="auto"/>
        <w:sz w:val="28"/>
        <w:szCs w:val="28"/>
      </w:rPr>
      <w:fldChar w:fldCharType="begin"/>
    </w:r>
    <w:r>
      <w:rPr>
        <w:rStyle w:val="5"/>
        <w:rFonts w:ascii="宋体" w:hAnsi="宋体"/>
        <w:color w:val="auto"/>
        <w:sz w:val="28"/>
        <w:szCs w:val="28"/>
      </w:rPr>
      <w:instrText xml:space="preserve">PAGE  </w:instrText>
    </w:r>
    <w:r>
      <w:rPr>
        <w:rFonts w:ascii="宋体" w:hAnsi="宋体"/>
        <w:color w:val="auto"/>
        <w:sz w:val="28"/>
        <w:szCs w:val="28"/>
      </w:rPr>
      <w:fldChar w:fldCharType="separate"/>
    </w:r>
    <w:r>
      <w:rPr>
        <w:rStyle w:val="5"/>
        <w:rFonts w:ascii="宋体" w:hAnsi="宋体"/>
        <w:color w:val="auto"/>
        <w:sz w:val="28"/>
        <w:szCs w:val="28"/>
      </w:rPr>
      <w:t>- 2 -</w:t>
    </w:r>
    <w:r>
      <w:rPr>
        <w:rFonts w:ascii="宋体" w:hAnsi="宋体"/>
        <w:color w:val="auto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F3730"/>
    <w:rsid w:val="01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2021-06-28T04:16:00Z</dcterms:created>
  <dc:creator>Administrator</dc:creator>
  <cp:lastModifiedBy>Administrator</cp:lastModifiedBy>
  <dcterms:modified xsi:type="dcterms:W3CDTF">2021-06-28T04:16:48Z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E4981D8409AC47D7874CBD856B12957F</vt:lpwstr>
  </property>
</Properties>
</file>