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天津东疆保税港区“双随机、一公开”监管联席会议办公室关于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发布东疆部门联合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“双随机、一公开”抽查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事项清单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  <w:r>
        <w:rPr>
          <w:rFonts w:ascii="仿宋_GB2312" w:hAnsi="宋体" w:eastAsia="仿宋_GB2312" w:cs="仿宋_GB2312"/>
          <w:sz w:val="31"/>
          <w:szCs w:val="31"/>
        </w:rPr>
        <w:t>为进一步落实“放管服”改革，提高监管效能，持续发力营造良好营商环境</w:t>
      </w: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，</w:t>
      </w:r>
      <w:r>
        <w:rPr>
          <w:rFonts w:ascii="仿宋_GB2312" w:hAnsi="宋体" w:eastAsia="仿宋_GB2312" w:cs="仿宋_GB2312"/>
          <w:sz w:val="31"/>
          <w:szCs w:val="31"/>
        </w:rPr>
        <w:t>按照《</w:t>
      </w:r>
      <w:r>
        <w:rPr>
          <w:rFonts w:hint="eastAsia" w:ascii="仿宋_GB2312" w:hAnsi="宋体" w:eastAsia="仿宋_GB2312" w:cs="仿宋_GB2312"/>
          <w:sz w:val="31"/>
          <w:szCs w:val="31"/>
        </w:rPr>
        <w:t>天津市滨海新区部门联合“双随机、一公开”抽查事项清单》</w:t>
      </w: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，东疆</w:t>
      </w:r>
      <w:r>
        <w:rPr>
          <w:rFonts w:hint="eastAsia" w:ascii="仿宋_GB2312" w:hAnsi="宋体" w:eastAsia="仿宋_GB2312" w:cs="仿宋_GB2312"/>
          <w:sz w:val="31"/>
          <w:szCs w:val="31"/>
        </w:rPr>
        <w:t>“双随机、一公开”监管联席会议办公室组织制定了《</w:t>
      </w: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东疆部门</w:t>
      </w:r>
      <w:r>
        <w:rPr>
          <w:rFonts w:hint="eastAsia" w:ascii="仿宋_GB2312" w:hAnsi="宋体" w:eastAsia="仿宋_GB2312" w:cs="仿宋_GB2312"/>
          <w:sz w:val="31"/>
          <w:szCs w:val="31"/>
        </w:rPr>
        <w:t>联合“双随机、一公开”抽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1"/>
          <w:szCs w:val="31"/>
        </w:rPr>
        <w:t>查事项清单》，现予以公布。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附件：东疆部门</w:t>
      </w:r>
      <w:r>
        <w:rPr>
          <w:rFonts w:hint="eastAsia" w:ascii="仿宋_GB2312" w:hAnsi="宋体" w:eastAsia="仿宋_GB2312" w:cs="仿宋_GB2312"/>
          <w:sz w:val="31"/>
          <w:szCs w:val="31"/>
        </w:rPr>
        <w:t>联合“双随机、一公开”抽查事项清单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jc w:val="right"/>
        <w:textAlignment w:val="auto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  <w:t>2021年4月21日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jc w:val="right"/>
        <w:textAlignment w:val="auto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ind w:left="1560" w:leftChars="300" w:hanging="930" w:hangingChars="300"/>
        <w:jc w:val="right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ind w:left="1560" w:leftChars="300" w:hanging="930" w:hangingChars="300"/>
        <w:jc w:val="right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ind w:left="1560" w:leftChars="300" w:hanging="930" w:hangingChars="300"/>
        <w:jc w:val="right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ind w:left="1560" w:leftChars="300" w:hanging="930" w:hangingChars="300"/>
        <w:jc w:val="right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jc w:val="left"/>
        <w:rPr>
          <w:rFonts w:hint="default" w:ascii="仿宋_GB2312" w:hAnsi="宋体" w:eastAsia="仿宋_GB2312" w:cs="仿宋_GB2312"/>
          <w:sz w:val="31"/>
          <w:szCs w:val="3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  <w:t>附件：</w:t>
      </w:r>
    </w:p>
    <w:tbl>
      <w:tblPr>
        <w:tblStyle w:val="5"/>
        <w:tblW w:w="1465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45"/>
        <w:gridCol w:w="1992"/>
        <w:gridCol w:w="1469"/>
        <w:gridCol w:w="2968"/>
        <w:gridCol w:w="2443"/>
        <w:gridCol w:w="2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东疆部门联合“双随机、一公开”抽查事项清单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抽查领域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配合部门检查事项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学校办学情况抽查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社发局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各类学校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1.中小学教育装备产品（含文体教育用品、教学仪器、校服等）检查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2.学校招生、办学情况的检查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学校食堂食品安全情况的检查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劳动保障监督检查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企业年度报告抽查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各类企业年报信息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年度报告公示信息的检查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年度报告社保事项检查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外商投资信息报告年度报告检查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道路危险货物运输企业抽查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环境和城管局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道路危险货物运输企业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道路危险货物运输企业检查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道路运输新业态企业抽查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环境和城管局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道路运输新业态企业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道路运输新业态企业检查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消防安全检查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东疆消防救援大队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使用领域消防产品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使用领域消防产品质量监督检查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工业企业安全生产情况的检查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各类工业企业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1.工业企业取得安全生产许可证情况的检查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2.工业企业安全生产有关制度设置、落实等情况的检查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劳动保障监督检查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公积金管理部门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住房公积金缴存情况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旅行社行业监管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新经济局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1.旅行社取得许可证情况的检查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2.旅行社经营情况的检查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劳动保障监督检查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公积金管理部门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住房公积金缴存情况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通过网络经营旅行社业务抽查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新经济局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通过网络经营旅行社业务的企业及平台，发布旅游经营信息的网站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1.通过网络经营旅行社业务抽查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2.发布旅游经营信息网站抽查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新车销售市场监管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新车销售市场经营主体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新车销售市场抽查。汽车销售企业备案检查和报送汽车销售信息检查。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1.市场主体登记事项及公示信息监督检查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2.机动车获得强制性产品认证情况检查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房地产市场监督执法检查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规建局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房地产从业单位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房地产市场监督执法检查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1.房地产行业价格监督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2.房地产行业广告检查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1.房地产建设项目的规划监督检查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2.经营性房地产开发用地出让合同证后监督检查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公安天津港分局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对涉及违反治安管理和犯罪进行查处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劳动保障监督检查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公积金管理部门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住房公积金缴存情况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建筑市场监督执法检查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规建局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建筑业企业和职业资格人员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1.企业是否满足资质条件；2.注册人员是否依法合规注册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劳动保障监督检查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公积金管理部门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住房公积金缴存情况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城镇污水处理厂监管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环境和城管局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城镇污水处理厂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城镇污水处理设施污染防治情况的检查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环境和城管局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污水处理工作监督检查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新办市场主体纳税信息确认检查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已办理营业执照未进行纳税信息确认的企业、个体工商户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长期未进行纳税信息确认的新办市场主体经营情况实地检查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用人单位劳动用工监督检查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各类用人单位（与劳动者建立劳动关系）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各类用人单位（与劳动者建立劳动关系）工资支付情况检查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房屋建筑和市政基础设施项目农民工实名制督查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公积金管理部门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住房公积金缴存情况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劳务派遣用工监督检查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劳务派遣相关单位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劳务派遣用工检查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市场主体登记事项及公示信息监督检查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税务登记、发票检查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公积金管理部门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住房公积金缴存情况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直播类广告抽查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从事直播的市场主体</w:t>
            </w:r>
          </w:p>
        </w:tc>
        <w:tc>
          <w:tcPr>
            <w:tcW w:w="2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对广告内容是否违反《中华人民共和国广告法》的检查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对网络内容是否违反《网络信息内容生态治理规定》的检查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社发局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对医疗广告是否违反《医疗广告管理办法》第二十条之规定的检查</w:t>
            </w:r>
          </w:p>
        </w:tc>
      </w:tr>
    </w:tbl>
    <w:p>
      <w:pPr>
        <w:jc w:val="left"/>
        <w:rPr>
          <w:rFonts w:hint="default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4ED7"/>
    <w:rsid w:val="00002769"/>
    <w:rsid w:val="002A2D50"/>
    <w:rsid w:val="00482E64"/>
    <w:rsid w:val="005B07CA"/>
    <w:rsid w:val="005E7900"/>
    <w:rsid w:val="007E3A79"/>
    <w:rsid w:val="008066D6"/>
    <w:rsid w:val="00844ED7"/>
    <w:rsid w:val="00897734"/>
    <w:rsid w:val="009F70C6"/>
    <w:rsid w:val="00B033BA"/>
    <w:rsid w:val="00C1108B"/>
    <w:rsid w:val="136717FC"/>
    <w:rsid w:val="25C24094"/>
    <w:rsid w:val="3C0B1946"/>
    <w:rsid w:val="52C862DA"/>
    <w:rsid w:val="5AC34DD0"/>
    <w:rsid w:val="66552F3F"/>
    <w:rsid w:val="6DB73A43"/>
    <w:rsid w:val="7D4D12BB"/>
    <w:rsid w:val="FF6EF7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sz w:val="24"/>
      <w:szCs w:val="24"/>
      <w:u w:val="none"/>
      <w:vertAlign w:val="baseline"/>
    </w:rPr>
  </w:style>
  <w:style w:type="character" w:styleId="8">
    <w:name w:val="Hyperlink"/>
    <w:basedOn w:val="6"/>
    <w:qFormat/>
    <w:uiPriority w:val="0"/>
    <w:rPr>
      <w:color w:val="333333"/>
      <w:sz w:val="24"/>
      <w:szCs w:val="24"/>
      <w:u w:val="none"/>
      <w:vertAlign w:val="baseline"/>
    </w:rPr>
  </w:style>
  <w:style w:type="character" w:customStyle="1" w:styleId="9">
    <w:name w:val="cur"/>
    <w:basedOn w:val="6"/>
    <w:qFormat/>
    <w:uiPriority w:val="0"/>
    <w:rPr>
      <w:shd w:val="clear" w:color="auto" w:fill="FF0000"/>
    </w:rPr>
  </w:style>
  <w:style w:type="character" w:customStyle="1" w:styleId="10">
    <w:name w:val="hover12"/>
    <w:basedOn w:val="6"/>
    <w:qFormat/>
    <w:uiPriority w:val="0"/>
    <w:rPr>
      <w:shd w:val="clear" w:color="auto" w:fill="111111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626</Words>
  <Characters>53</Characters>
  <Lines>1</Lines>
  <Paragraphs>1</Paragraphs>
  <TotalTime>5</TotalTime>
  <ScaleCrop>false</ScaleCrop>
  <LinksUpToDate>false</LinksUpToDate>
  <CharactersWithSpaces>678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2020-11-20T18:31:00Z</dcterms:created>
  <dc:creator>Administrator</dc:creator>
  <cp:lastModifiedBy>kylin</cp:lastModifiedBy>
  <cp:lastPrinted>2021-04-22T10:13:20Z</cp:lastPrinted>
  <dcterms:modified xsi:type="dcterms:W3CDTF">2021-04-22T10:13:31Z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233F8F5C7A8841C79847DD173016EACC</vt:lpwstr>
  </property>
</Properties>
</file>