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25" w:rsidRPr="0064501A" w:rsidRDefault="005A3F25" w:rsidP="005A3F25">
      <w:pPr>
        <w:widowControl/>
        <w:spacing w:line="432" w:lineRule="atLeast"/>
        <w:jc w:val="left"/>
        <w:rPr>
          <w:rFonts w:ascii="Simsun" w:hAnsi="Simsun" w:cs="宋体" w:hint="eastAsia"/>
          <w:color w:val="000000"/>
          <w:kern w:val="0"/>
          <w:sz w:val="24"/>
          <w:szCs w:val="24"/>
        </w:rPr>
      </w:pPr>
      <w:r w:rsidRPr="0064501A">
        <w:rPr>
          <w:rFonts w:ascii="Simsun" w:hAnsi="Simsun" w:cs="宋体"/>
          <w:b/>
          <w:bCs/>
          <w:color w:val="000000"/>
          <w:kern w:val="0"/>
          <w:sz w:val="24"/>
          <w:szCs w:val="24"/>
        </w:rPr>
        <w:t>附件</w:t>
      </w:r>
      <w:r w:rsidRPr="0064501A">
        <w:rPr>
          <w:rFonts w:ascii="Simsun" w:hAnsi="Simsun" w:cs="宋体"/>
          <w:b/>
          <w:bCs/>
          <w:color w:val="000000"/>
          <w:kern w:val="0"/>
          <w:sz w:val="24"/>
          <w:szCs w:val="24"/>
        </w:rPr>
        <w:t>1</w:t>
      </w:r>
    </w:p>
    <w:p w:rsidR="005A3F25" w:rsidRPr="0064501A" w:rsidRDefault="005A3F25" w:rsidP="005A3F25">
      <w:pPr>
        <w:widowControl/>
        <w:spacing w:line="432" w:lineRule="atLeast"/>
        <w:jc w:val="center"/>
        <w:rPr>
          <w:rFonts w:ascii="Simsun" w:hAnsi="Simsun" w:cs="宋体" w:hint="eastAsia"/>
          <w:color w:val="000000"/>
          <w:kern w:val="0"/>
          <w:sz w:val="24"/>
          <w:szCs w:val="24"/>
        </w:rPr>
      </w:pPr>
      <w:r w:rsidRPr="0064501A">
        <w:rPr>
          <w:rFonts w:ascii="Simsun" w:hAnsi="Simsun" w:cs="宋体"/>
          <w:b/>
          <w:bCs/>
          <w:color w:val="000000"/>
          <w:kern w:val="0"/>
          <w:sz w:val="36"/>
        </w:rPr>
        <w:t>国务院有关部门负责复制推广的</w:t>
      </w:r>
      <w:r w:rsidRPr="0064501A">
        <w:rPr>
          <w:rFonts w:ascii="Simsun" w:hAnsi="Simsun" w:cs="宋体"/>
          <w:b/>
          <w:bCs/>
          <w:color w:val="000000"/>
          <w:kern w:val="0"/>
          <w:sz w:val="36"/>
          <w:szCs w:val="36"/>
        </w:rPr>
        <w:br/>
      </w:r>
      <w:r w:rsidRPr="0064501A">
        <w:rPr>
          <w:rFonts w:ascii="Simsun" w:hAnsi="Simsun" w:cs="宋体"/>
          <w:b/>
          <w:bCs/>
          <w:color w:val="000000"/>
          <w:kern w:val="0"/>
          <w:sz w:val="36"/>
        </w:rPr>
        <w:t>改革事项任务分工表</w:t>
      </w:r>
    </w:p>
    <w:tbl>
      <w:tblPr>
        <w:tblW w:w="94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3483"/>
        <w:gridCol w:w="1726"/>
        <w:gridCol w:w="1999"/>
        <w:gridCol w:w="1378"/>
      </w:tblGrid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b/>
                <w:bCs/>
                <w:color w:val="000000"/>
                <w:kern w:val="0"/>
                <w:sz w:val="20"/>
              </w:rPr>
              <w:t>改革事项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b/>
                <w:bCs/>
                <w:color w:val="000000"/>
                <w:kern w:val="0"/>
                <w:sz w:val="20"/>
              </w:rPr>
              <w:t>负责部门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b/>
                <w:bCs/>
                <w:color w:val="000000"/>
                <w:kern w:val="0"/>
                <w:sz w:val="20"/>
              </w:rPr>
              <w:t>推广范围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b/>
                <w:bCs/>
                <w:color w:val="000000"/>
                <w:kern w:val="0"/>
                <w:sz w:val="20"/>
              </w:rPr>
              <w:t> </w:t>
            </w:r>
            <w:r w:rsidRPr="0064501A">
              <w:rPr>
                <w:rFonts w:ascii="Simsun" w:hAnsi="Simsun" w:cs="宋体"/>
                <w:b/>
                <w:bCs/>
                <w:color w:val="000000"/>
                <w:kern w:val="0"/>
                <w:sz w:val="20"/>
              </w:rPr>
              <w:t>时限</w:t>
            </w: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外商投资广告企业项目备案制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工商总局</w:t>
            </w:r>
          </w:p>
        </w:tc>
        <w:tc>
          <w:tcPr>
            <w:tcW w:w="19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    </w:t>
            </w:r>
          </w:p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全国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    </w:t>
            </w:r>
          </w:p>
        </w:tc>
        <w:tc>
          <w:tcPr>
            <w:tcW w:w="13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2015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年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6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月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br/>
              <w:t>30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日前</w:t>
            </w:r>
          </w:p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    </w:t>
            </w: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涉税事项网上审批备案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税务总局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税务登记号码网上自动赋码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网上自主办税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纳税信用管理的网上信用评级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组织机构代码实时赋码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质检总局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企业标准备案管理制度创新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取消生产许可证委托加工备案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全球维修产业检验检疫监管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中转货物产地来源证管理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检验检疫通关无纸化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12 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第三方检验结果采信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13 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出入境生物材料制品风险管理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14 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个人其他经常项下人民币结算业务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人民银行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15 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外商投资企业外汇资本金意愿结汇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外汇局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16 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银行办理大宗商品衍生品柜台交易涉及的结售汇业务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17 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直接投资项下外汇登记及变更登记下放银行办理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18 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允许融资租赁公司兼营与主营业务有关的商业保理业务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商务部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  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19 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允许设立外商投资资信调查公司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20 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允许设立股份制外资投资性公司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21 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融资租赁公司设立子公司不设最低注册资本限制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lastRenderedPageBreak/>
              <w:t>22 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允许内外资企业从事游戏游艺设备生产和销售，经文化部门内容审核后面向国内市场销售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文化部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23 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从投资者条件、企业设立程序、业务规则、监督管理、违规处罚等方面明确扩大开放行业具体监管要求，完善专业监管制度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各行业监管部门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在全国借鉴推广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结合扩大开放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br/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情况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24 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期货保税交割海关监管制度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海关总署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  </w:t>
            </w:r>
          </w:p>
        </w:tc>
        <w:tc>
          <w:tcPr>
            <w:tcW w:w="19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海关特殊监管区域</w:t>
            </w:r>
          </w:p>
        </w:tc>
        <w:tc>
          <w:tcPr>
            <w:tcW w:w="13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2015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年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6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月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br/>
              <w:t>30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日前</w:t>
            </w: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25 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境内外维修海关监管制度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26 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融资租赁海关监管制度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27 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进口货物预检验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质检总局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 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28 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分线监督管理制度</w:t>
            </w: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  <w:tr w:rsidR="005A3F25" w:rsidRPr="0064501A" w:rsidTr="00C613EC">
        <w:trPr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center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29 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spacing w:line="432" w:lineRule="atLeast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zCs w:val="24"/>
              </w:rPr>
            </w:pPr>
            <w:r w:rsidRPr="0064501A">
              <w:rPr>
                <w:rFonts w:ascii="Simsun" w:hAnsi="Simsun" w:cs="宋体"/>
                <w:color w:val="000000"/>
                <w:kern w:val="0"/>
                <w:sz w:val="20"/>
              </w:rPr>
              <w:t>动植物及其产品检疫审批负面清单管理</w:t>
            </w:r>
            <w:r w:rsidRPr="0064501A">
              <w:rPr>
                <w:rFonts w:ascii="Simsun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3F25" w:rsidRPr="0064501A" w:rsidRDefault="005A3F25" w:rsidP="00C613EC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0"/>
              </w:rPr>
            </w:pPr>
          </w:p>
        </w:tc>
      </w:tr>
    </w:tbl>
    <w:p w:rsidR="00AC4183" w:rsidRPr="005A3F25" w:rsidRDefault="00AC4183">
      <w:bookmarkStart w:id="0" w:name="_GoBack"/>
      <w:bookmarkEnd w:id="0"/>
    </w:p>
    <w:sectPr w:rsidR="00AC4183" w:rsidRPr="005A3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D2" w:rsidRDefault="00A721D2" w:rsidP="005A3F25">
      <w:r>
        <w:separator/>
      </w:r>
    </w:p>
  </w:endnote>
  <w:endnote w:type="continuationSeparator" w:id="0">
    <w:p w:rsidR="00A721D2" w:rsidRDefault="00A721D2" w:rsidP="005A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D2" w:rsidRDefault="00A721D2" w:rsidP="005A3F25">
      <w:r>
        <w:separator/>
      </w:r>
    </w:p>
  </w:footnote>
  <w:footnote w:type="continuationSeparator" w:id="0">
    <w:p w:rsidR="00A721D2" w:rsidRDefault="00A721D2" w:rsidP="005A3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63"/>
    <w:rsid w:val="005A3F25"/>
    <w:rsid w:val="00A721D2"/>
    <w:rsid w:val="00AC4183"/>
    <w:rsid w:val="00F4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D1F42-59BE-4A35-8D7F-37B0851F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F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F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2015-06-29T07:19:00Z</dcterms:created>
  <dcterms:modified xsi:type="dcterms:W3CDTF">2015-06-29T07:19:00Z</dcterms:modified>
</cp:coreProperties>
</file>